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8B974" w14:textId="6DA931DD" w:rsidR="003F5C52" w:rsidRPr="00DE5FF7" w:rsidRDefault="003F5C52" w:rsidP="00DE5FF7">
      <w:pPr>
        <w:tabs>
          <w:tab w:val="left" w:pos="1652"/>
        </w:tabs>
        <w:jc w:val="center"/>
        <w:rPr>
          <w:rFonts w:asciiTheme="majorBidi" w:eastAsia="Times New Roman" w:hAnsiTheme="majorBidi" w:cstheme="majorBidi"/>
          <w:b/>
          <w:bCs/>
          <w:sz w:val="32"/>
          <w:szCs w:val="32"/>
          <w:rtl/>
        </w:rPr>
      </w:pPr>
      <w:r w:rsidRPr="00DE5FF7">
        <w:rPr>
          <w:rFonts w:asciiTheme="majorBidi" w:eastAsia="Times New Roman" w:hAnsiTheme="majorBidi" w:cstheme="majorBidi"/>
          <w:b/>
          <w:bCs/>
          <w:sz w:val="32"/>
          <w:szCs w:val="32"/>
          <w:rtl/>
        </w:rPr>
        <w:t>عَدَم الاخْتِصَاص النَّوْعِيّ كَأدَاةٍ لِضَبْطِ الوَظِيفَة الإجْرَائِيَّة</w:t>
      </w:r>
    </w:p>
    <w:p w14:paraId="3D6F4F1D" w14:textId="2943D46B" w:rsidR="003F5C52" w:rsidRPr="00F45F3B" w:rsidRDefault="003F5C52" w:rsidP="00DE5FF7">
      <w:pPr>
        <w:tabs>
          <w:tab w:val="left" w:pos="1652"/>
        </w:tabs>
        <w:jc w:val="center"/>
        <w:rPr>
          <w:rFonts w:asciiTheme="majorBidi" w:eastAsia="Times New Roman" w:hAnsiTheme="majorBidi" w:cstheme="majorBidi"/>
          <w:b/>
          <w:bCs/>
          <w:sz w:val="32"/>
          <w:szCs w:val="32"/>
          <w:rtl/>
          <w:lang w:bidi="ar-IQ"/>
        </w:rPr>
      </w:pPr>
      <w:r w:rsidRPr="00DE5FF7">
        <w:rPr>
          <w:rFonts w:asciiTheme="majorBidi" w:eastAsia="Times New Roman" w:hAnsiTheme="majorBidi" w:cstheme="majorBidi"/>
          <w:b/>
          <w:bCs/>
          <w:sz w:val="32"/>
          <w:szCs w:val="32"/>
          <w:rtl/>
        </w:rPr>
        <w:t>"دِرَاسَة تَحْلِيلِيَّة تَطْبِيقِيَّة</w:t>
      </w:r>
      <w:r w:rsidRPr="00DE5FF7">
        <w:rPr>
          <w:rFonts w:asciiTheme="majorBidi" w:eastAsia="Times New Roman" w:hAnsiTheme="majorBidi" w:cstheme="majorBidi"/>
          <w:b/>
          <w:bCs/>
          <w:sz w:val="32"/>
          <w:szCs w:val="32"/>
          <w:rtl/>
          <w:lang w:bidi="ar-IQ"/>
        </w:rPr>
        <w:t>"</w:t>
      </w:r>
    </w:p>
    <w:p w14:paraId="4211FD5D" w14:textId="081F3ADF" w:rsidR="00F45F3B" w:rsidRPr="00F45F3B" w:rsidRDefault="00F45F3B" w:rsidP="00F45F3B">
      <w:pPr>
        <w:pStyle w:val="NormalWeb"/>
        <w:jc w:val="center"/>
        <w:rPr>
          <w:rFonts w:asciiTheme="majorBidi" w:hAnsiTheme="majorBidi" w:cstheme="majorBidi"/>
          <w:color w:val="000000" w:themeColor="text1"/>
          <w:sz w:val="28"/>
          <w:szCs w:val="28"/>
        </w:rPr>
      </w:pPr>
      <w:r w:rsidRPr="00F45F3B">
        <w:rPr>
          <w:rStyle w:val="Strong"/>
          <w:rFonts w:asciiTheme="majorBidi" w:hAnsiTheme="majorBidi" w:cstheme="majorBidi"/>
          <w:color w:val="000000" w:themeColor="text1"/>
          <w:sz w:val="28"/>
          <w:szCs w:val="28"/>
        </w:rPr>
        <w:t>Lack of Subject-Matter Jurisdiction as a Tool for Regulating Procedural Function</w:t>
      </w:r>
      <w:r w:rsidRPr="00F45F3B">
        <w:rPr>
          <w:rStyle w:val="Strong"/>
          <w:rFonts w:asciiTheme="majorBidi" w:hAnsiTheme="majorBidi" w:cstheme="majorBidi" w:hint="cs"/>
          <w:color w:val="000000" w:themeColor="text1"/>
          <w:sz w:val="28"/>
          <w:szCs w:val="28"/>
          <w:rtl/>
        </w:rPr>
        <w:t>"</w:t>
      </w:r>
      <w:r w:rsidRPr="00F45F3B">
        <w:rPr>
          <w:rStyle w:val="Strong"/>
          <w:rFonts w:asciiTheme="majorBidi" w:hAnsiTheme="majorBidi" w:cstheme="majorBidi" w:hint="cs"/>
          <w:color w:val="000000" w:themeColor="text1"/>
          <w:sz w:val="28"/>
          <w:rtl/>
        </w:rPr>
        <w:t xml:space="preserve"> </w:t>
      </w:r>
      <w:r w:rsidRPr="00F45F3B">
        <w:rPr>
          <w:rStyle w:val="Strong"/>
          <w:rFonts w:asciiTheme="majorBidi" w:hAnsiTheme="majorBidi" w:cstheme="majorBidi"/>
          <w:color w:val="000000" w:themeColor="text1"/>
          <w:sz w:val="28"/>
          <w:szCs w:val="28"/>
        </w:rPr>
        <w:t>An Analytical and Applied Study</w:t>
      </w:r>
      <w:r>
        <w:rPr>
          <w:rStyle w:val="Strong"/>
          <w:rFonts w:asciiTheme="majorBidi" w:hAnsiTheme="majorBidi" w:cstheme="majorBidi" w:hint="cs"/>
          <w:color w:val="000000" w:themeColor="text1"/>
          <w:sz w:val="28"/>
          <w:szCs w:val="28"/>
          <w:rtl/>
        </w:rPr>
        <w:t>"</w:t>
      </w:r>
    </w:p>
    <w:p w14:paraId="723AD94F" w14:textId="74797B03" w:rsidR="003F5C52" w:rsidRPr="00DE5FF7" w:rsidRDefault="003F5C52" w:rsidP="00DE5FF7">
      <w:pPr>
        <w:tabs>
          <w:tab w:val="left" w:pos="1652"/>
        </w:tabs>
        <w:rPr>
          <w:rFonts w:asciiTheme="majorBidi" w:eastAsia="Times New Roman" w:hAnsiTheme="majorBidi" w:cstheme="majorBidi"/>
          <w:b/>
          <w:bCs/>
          <w:sz w:val="28"/>
          <w:lang w:bidi="ar-IQ"/>
        </w:rPr>
      </w:pPr>
      <w:r w:rsidRPr="00DE5FF7">
        <w:rPr>
          <w:rFonts w:asciiTheme="majorBidi" w:eastAsia="Times New Roman" w:hAnsiTheme="majorBidi" w:cstheme="majorBidi"/>
          <w:b/>
          <w:bCs/>
          <w:sz w:val="28"/>
          <w:rtl/>
          <w:lang w:bidi="ar-IQ"/>
        </w:rPr>
        <w:t>م</w:t>
      </w:r>
      <w:r w:rsidRPr="00DE5FF7">
        <w:rPr>
          <w:rFonts w:asciiTheme="majorBidi" w:eastAsia="Times New Roman" w:hAnsiTheme="majorBidi" w:cstheme="majorBidi"/>
          <w:b/>
          <w:bCs/>
          <w:sz w:val="28"/>
          <w:lang w:bidi="ar-IQ"/>
        </w:rPr>
        <w:t>.</w:t>
      </w:r>
      <w:r w:rsidRPr="00DE5FF7">
        <w:rPr>
          <w:rFonts w:asciiTheme="majorBidi" w:eastAsia="Times New Roman" w:hAnsiTheme="majorBidi" w:cstheme="majorBidi"/>
          <w:b/>
          <w:bCs/>
          <w:sz w:val="28"/>
          <w:rtl/>
          <w:lang w:bidi="ar-IQ"/>
        </w:rPr>
        <w:t>د علي هادي جهاد</w:t>
      </w:r>
      <w:r w:rsidR="00DE5FF7" w:rsidRPr="00663CE8">
        <w:rPr>
          <w:rStyle w:val="FootnoteReference"/>
          <w:rFonts w:asciiTheme="majorBidi" w:hAnsiTheme="majorBidi" w:cstheme="majorBidi"/>
          <w:b/>
          <w:bCs/>
          <w:sz w:val="28"/>
        </w:rPr>
        <w:footnoteReference w:customMarkFollows="1" w:id="1"/>
        <w:t>*</w:t>
      </w:r>
      <w:r w:rsidR="00DE5FF7" w:rsidRPr="00663CE8">
        <w:rPr>
          <w:rFonts w:asciiTheme="majorBidi" w:hAnsiTheme="majorBidi" w:cstheme="majorBidi"/>
          <w:b/>
          <w:bCs/>
          <w:sz w:val="28"/>
          <w:rtl/>
        </w:rPr>
        <w:t xml:space="preserve"> </w:t>
      </w:r>
    </w:p>
    <w:p w14:paraId="56AF9A5E" w14:textId="2D7DB760" w:rsidR="003F5C52" w:rsidRPr="00DE5FF7" w:rsidRDefault="003F5C52" w:rsidP="00DE5FF7">
      <w:pPr>
        <w:tabs>
          <w:tab w:val="left" w:pos="1652"/>
        </w:tabs>
        <w:rPr>
          <w:rFonts w:asciiTheme="majorBidi" w:eastAsia="Times New Roman" w:hAnsiTheme="majorBidi" w:cstheme="majorBidi"/>
          <w:b/>
          <w:bCs/>
          <w:sz w:val="28"/>
          <w:lang w:bidi="ar-IQ"/>
        </w:rPr>
      </w:pPr>
      <w:r w:rsidRPr="00DE5FF7">
        <w:rPr>
          <w:rFonts w:asciiTheme="majorBidi" w:eastAsia="Times New Roman" w:hAnsiTheme="majorBidi" w:cstheme="majorBidi"/>
          <w:b/>
          <w:bCs/>
          <w:sz w:val="28"/>
          <w:rtl/>
          <w:lang w:bidi="ar-IQ"/>
        </w:rPr>
        <w:t>جامعة المثنى</w:t>
      </w:r>
      <w:r w:rsidR="00DE5FF7" w:rsidRPr="00DE5FF7">
        <w:rPr>
          <w:rFonts w:asciiTheme="majorBidi" w:eastAsia="Times New Roman" w:hAnsiTheme="majorBidi" w:cstheme="majorBidi"/>
          <w:b/>
          <w:bCs/>
          <w:sz w:val="28"/>
          <w:rtl/>
          <w:lang w:bidi="ar-IQ"/>
        </w:rPr>
        <w:t>/ كلية القانون</w:t>
      </w:r>
    </w:p>
    <w:p w14:paraId="0FAB25B4" w14:textId="5CB8312A" w:rsidR="003F5C52" w:rsidRPr="00DE5FF7" w:rsidRDefault="00084CCE" w:rsidP="00DE5FF7">
      <w:pPr>
        <w:pBdr>
          <w:top w:val="single" w:sz="4" w:space="1" w:color="auto"/>
          <w:left w:val="single" w:sz="4" w:space="4" w:color="auto"/>
          <w:bottom w:val="single" w:sz="4" w:space="1" w:color="auto"/>
          <w:right w:val="single" w:sz="4" w:space="4" w:color="auto"/>
        </w:pBdr>
        <w:spacing w:after="0"/>
        <w:jc w:val="center"/>
        <w:rPr>
          <w:rFonts w:cs="Calibri"/>
          <w:b/>
          <w:bCs/>
          <w:sz w:val="24"/>
          <w:szCs w:val="24"/>
          <w:lang w:bidi="ar-DZ"/>
        </w:rPr>
      </w:pPr>
      <w:r w:rsidRPr="00DE5FF7">
        <w:rPr>
          <w:rFonts w:cs="Calibri"/>
          <w:b/>
          <w:bCs/>
          <w:sz w:val="24"/>
          <w:szCs w:val="24"/>
          <w:rtl/>
          <w:lang w:bidi="ar-DZ"/>
        </w:rPr>
        <w:t>تاريخ الإرسال:</w:t>
      </w:r>
      <w:r w:rsidRPr="00DE5FF7">
        <w:rPr>
          <w:rFonts w:cs="Calibri"/>
          <w:sz w:val="24"/>
          <w:szCs w:val="24"/>
          <w:rtl/>
          <w:lang w:bidi="ar-DZ"/>
        </w:rPr>
        <w:t xml:space="preserve"> </w:t>
      </w:r>
      <w:r w:rsidR="00896423" w:rsidRPr="00DE5FF7">
        <w:rPr>
          <w:rFonts w:cs="Calibri"/>
          <w:b/>
          <w:bCs/>
          <w:sz w:val="24"/>
          <w:szCs w:val="24"/>
          <w:lang w:bidi="ar-DZ"/>
        </w:rPr>
        <w:t>21</w:t>
      </w:r>
      <w:r w:rsidRPr="00DE5FF7">
        <w:rPr>
          <w:rFonts w:cs="Calibri"/>
          <w:b/>
          <w:bCs/>
          <w:sz w:val="24"/>
          <w:szCs w:val="24"/>
          <w:rtl/>
          <w:lang w:bidi="ar-DZ"/>
        </w:rPr>
        <w:t>\</w:t>
      </w:r>
      <w:r w:rsidR="00896423" w:rsidRPr="00DE5FF7">
        <w:rPr>
          <w:rFonts w:cs="Calibri"/>
          <w:b/>
          <w:bCs/>
          <w:sz w:val="24"/>
          <w:szCs w:val="24"/>
          <w:lang w:bidi="ar-DZ"/>
        </w:rPr>
        <w:t>10</w:t>
      </w:r>
      <w:r w:rsidRPr="00DE5FF7">
        <w:rPr>
          <w:rFonts w:cs="Calibri"/>
          <w:b/>
          <w:bCs/>
          <w:sz w:val="24"/>
          <w:szCs w:val="24"/>
          <w:rtl/>
          <w:lang w:bidi="ar-DZ"/>
        </w:rPr>
        <w:t>\2025</w:t>
      </w:r>
      <w:r w:rsidRPr="00DE5FF7">
        <w:rPr>
          <w:rFonts w:cs="Calibri"/>
          <w:b/>
          <w:bCs/>
          <w:sz w:val="24"/>
          <w:szCs w:val="24"/>
          <w:rtl/>
          <w:lang w:bidi="ar-DZ"/>
        </w:rPr>
        <w:tab/>
        <w:t>تاريخ القبول:</w:t>
      </w:r>
      <w:r w:rsidRPr="00DE5FF7">
        <w:rPr>
          <w:rFonts w:cs="Calibri"/>
          <w:sz w:val="24"/>
          <w:szCs w:val="24"/>
          <w:rtl/>
          <w:lang w:bidi="ar-DZ"/>
        </w:rPr>
        <w:t xml:space="preserve"> </w:t>
      </w:r>
      <w:r w:rsidR="00896423" w:rsidRPr="00DE5FF7">
        <w:rPr>
          <w:rFonts w:cs="Calibri"/>
          <w:b/>
          <w:bCs/>
          <w:sz w:val="24"/>
          <w:szCs w:val="24"/>
          <w:lang w:bidi="ar-DZ"/>
        </w:rPr>
        <w:t>22</w:t>
      </w:r>
      <w:r w:rsidRPr="00DE5FF7">
        <w:rPr>
          <w:rFonts w:cs="Calibri"/>
          <w:b/>
          <w:bCs/>
          <w:sz w:val="24"/>
          <w:szCs w:val="24"/>
          <w:rtl/>
          <w:lang w:bidi="ar-DZ"/>
        </w:rPr>
        <w:t>\</w:t>
      </w:r>
      <w:r w:rsidR="00896423" w:rsidRPr="00DE5FF7">
        <w:rPr>
          <w:rFonts w:cs="Calibri"/>
          <w:b/>
          <w:bCs/>
          <w:sz w:val="24"/>
          <w:szCs w:val="24"/>
          <w:lang w:bidi="ar-DZ"/>
        </w:rPr>
        <w:t>12</w:t>
      </w:r>
      <w:r w:rsidRPr="00DE5FF7">
        <w:rPr>
          <w:rFonts w:cs="Calibri"/>
          <w:b/>
          <w:bCs/>
          <w:sz w:val="24"/>
          <w:szCs w:val="24"/>
          <w:rtl/>
          <w:lang w:bidi="ar-DZ"/>
        </w:rPr>
        <w:t>\2025</w:t>
      </w:r>
      <w:r w:rsidR="009E6DED" w:rsidRPr="00DE5FF7">
        <w:rPr>
          <w:rFonts w:cs="Calibri"/>
          <w:b/>
          <w:bCs/>
          <w:sz w:val="24"/>
          <w:szCs w:val="24"/>
          <w:lang w:bidi="ar-DZ"/>
        </w:rPr>
        <w:t xml:space="preserve"> </w:t>
      </w:r>
      <w:r w:rsidR="00136E6D" w:rsidRPr="00DE5FF7">
        <w:rPr>
          <w:rFonts w:cs="Calibri"/>
          <w:b/>
          <w:bCs/>
          <w:sz w:val="24"/>
          <w:szCs w:val="24"/>
          <w:lang w:bidi="ar-DZ"/>
        </w:rPr>
        <w:t xml:space="preserve"> </w:t>
      </w:r>
      <w:r w:rsidRPr="00DE5FF7">
        <w:rPr>
          <w:rFonts w:cs="Calibri"/>
          <w:b/>
          <w:bCs/>
          <w:sz w:val="24"/>
          <w:szCs w:val="24"/>
          <w:rtl/>
          <w:lang w:bidi="ar-DZ"/>
        </w:rPr>
        <w:tab/>
        <w:t xml:space="preserve">تاريخ النشر: </w:t>
      </w:r>
      <w:r w:rsidRPr="00DE5FF7">
        <w:rPr>
          <w:rFonts w:cs="Calibri"/>
          <w:b/>
          <w:bCs/>
          <w:sz w:val="24"/>
          <w:szCs w:val="24"/>
          <w:lang w:bidi="ar-DZ"/>
        </w:rPr>
        <w:t>30</w:t>
      </w:r>
      <w:r w:rsidRPr="00DE5FF7">
        <w:rPr>
          <w:rFonts w:cs="Calibri"/>
          <w:b/>
          <w:bCs/>
          <w:sz w:val="24"/>
          <w:szCs w:val="24"/>
          <w:rtl/>
          <w:lang w:bidi="ar-DZ"/>
        </w:rPr>
        <w:t>\12\2025</w:t>
      </w:r>
    </w:p>
    <w:p w14:paraId="12E0446D" w14:textId="0C7FDF5B" w:rsidR="003F5C52" w:rsidRDefault="003F5C52" w:rsidP="00DE5FF7">
      <w:pPr>
        <w:tabs>
          <w:tab w:val="left" w:pos="1652"/>
        </w:tabs>
        <w:rPr>
          <w:rFonts w:asciiTheme="majorBidi" w:eastAsia="Times New Roman" w:hAnsiTheme="majorBidi" w:cstheme="majorBidi"/>
          <w:b/>
          <w:bCs/>
          <w:sz w:val="28"/>
          <w:rtl/>
        </w:rPr>
      </w:pPr>
    </w:p>
    <w:p w14:paraId="644E5BDE" w14:textId="5E6F4952" w:rsidR="00DE5FF7" w:rsidRPr="00DE5FF7" w:rsidRDefault="00DE5FF7" w:rsidP="00DE5FF7">
      <w:pPr>
        <w:tabs>
          <w:tab w:val="left" w:pos="1652"/>
        </w:tabs>
        <w:rPr>
          <w:rFonts w:asciiTheme="majorBidi" w:eastAsia="Times New Roman" w:hAnsiTheme="majorBidi" w:cstheme="majorBidi"/>
          <w:b/>
          <w:bCs/>
          <w:sz w:val="28"/>
        </w:rPr>
      </w:pPr>
      <w:r w:rsidRPr="00DE5FF7">
        <w:rPr>
          <w:rFonts w:asciiTheme="majorBidi" w:eastAsia="Times New Roman" w:hAnsiTheme="majorBidi" w:cstheme="majorBidi"/>
          <w:b/>
          <w:bCs/>
          <w:noProof/>
          <w:sz w:val="28"/>
          <w:rtl/>
        </w:rPr>
        <mc:AlternateContent>
          <mc:Choice Requires="wps">
            <w:drawing>
              <wp:anchor distT="45720" distB="45720" distL="114300" distR="114300" simplePos="0" relativeHeight="251658752" behindDoc="0" locked="0" layoutInCell="1" allowOverlap="1" wp14:anchorId="5720A257" wp14:editId="16BB2347">
                <wp:simplePos x="0" y="0"/>
                <wp:positionH relativeFrom="column">
                  <wp:posOffset>12700</wp:posOffset>
                </wp:positionH>
                <wp:positionV relativeFrom="paragraph">
                  <wp:posOffset>367030</wp:posOffset>
                </wp:positionV>
                <wp:extent cx="5812790" cy="2018030"/>
                <wp:effectExtent l="12700" t="12700" r="16510" b="13970"/>
                <wp:wrapSquare wrapText="bothSides"/>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2790" cy="2018030"/>
                        </a:xfrm>
                        <a:prstGeom prst="rect">
                          <a:avLst/>
                        </a:prstGeom>
                        <a:solidFill>
                          <a:schemeClr val="accent2">
                            <a:lumMod val="20000"/>
                            <a:lumOff val="8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22EE4FE" w14:textId="262704A3" w:rsidR="003F5C52" w:rsidRPr="00DE5FF7" w:rsidRDefault="003F5C52" w:rsidP="00DE5FF7">
                            <w:pPr>
                              <w:tabs>
                                <w:tab w:val="left" w:pos="1652"/>
                              </w:tabs>
                              <w:spacing w:line="240" w:lineRule="auto"/>
                              <w:ind w:firstLine="720"/>
                              <w:jc w:val="both"/>
                              <w:rPr>
                                <w:rFonts w:asciiTheme="majorBidi" w:eastAsia="Times New Roman" w:hAnsiTheme="majorBidi" w:cstheme="majorBidi"/>
                                <w:sz w:val="28"/>
                                <w:rtl/>
                                <w:lang w:bidi="ar-IQ"/>
                              </w:rPr>
                            </w:pPr>
                            <w:r w:rsidRPr="00DE5FF7">
                              <w:rPr>
                                <w:rFonts w:asciiTheme="majorBidi" w:eastAsia="Times New Roman" w:hAnsiTheme="majorBidi" w:cstheme="majorBidi"/>
                                <w:sz w:val="28"/>
                                <w:rtl/>
                                <w:lang w:bidi="ar-IQ"/>
                              </w:rPr>
                              <w:t>الدفع بعدم الاختصاص النوعي هو وسيلة قانونية يُثيرها أحد أطراف الدعوى، وغالبًا ما يكون المدعى عليه، للطعن في اختصاص المحكمة التي تنظر النزاع من حيث نوع القضية، أي ما إذا كانت المحكمة المختصة هي مدنية أو جزائية أو إدارية أو تجارية، وليس من حيث المكان أو القيمة. تلتزم المحكمة بالتحقق من اختصاصها النوعي من تلقاء نفسها، ولو لم يُثره الخصوم، لأن المسألة تتعلق بالنظام العام. وعند ثبوت الدفع، تقضي المحكمة بعدم اختصاصها وتحيل الدعوى إلى المحكمة المختصة إن كان ذلك ممكناً وتكمن الإشكالية عندما يتحول الدفع بعدم الاختصاص النوعي من وسيلة إجرائية للطعن في صحة نظر الدعوى إلى أداة لضبط الفاعلية الوظيفية للإجراءات القضائية نفسها وأن الاختصاص النوعي ليس مجرد قاعدة شكلية، بل ضمانات للحفاظ على توزيع القضايا بما يتلاءم مع طبيعة كل محكمة</w:t>
                            </w:r>
                            <w:r w:rsidRPr="00DE5FF7">
                              <w:rPr>
                                <w:rFonts w:asciiTheme="majorBidi" w:eastAsia="Times New Roman" w:hAnsiTheme="majorBidi" w:cstheme="majorBidi"/>
                                <w:sz w:val="28"/>
                                <w:lang w:bidi="ar-IQ"/>
                              </w:rPr>
                              <w:t xml:space="preserve"> </w:t>
                            </w:r>
                            <w:r w:rsidRPr="00DE5FF7">
                              <w:rPr>
                                <w:rFonts w:asciiTheme="majorBidi" w:eastAsia="Times New Roman" w:hAnsiTheme="majorBidi" w:cstheme="majorBidi"/>
                                <w:sz w:val="28"/>
                                <w:rtl/>
                                <w:lang w:bidi="ar-IQ"/>
                              </w:rPr>
                              <w:t>.</w:t>
                            </w:r>
                          </w:p>
                          <w:p w14:paraId="23469F5B" w14:textId="2AD0C51F" w:rsidR="003F5C52" w:rsidRPr="00DE5FF7" w:rsidRDefault="003F5C52" w:rsidP="00DE5FF7">
                            <w:pPr>
                              <w:spacing w:line="240" w:lineRule="auto"/>
                              <w:jc w:val="both"/>
                              <w:rPr>
                                <w:rFonts w:asciiTheme="majorBidi" w:hAnsiTheme="majorBidi" w:cstheme="majorBidi"/>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0A257" id="_x0000_t202" coordsize="21600,21600" o:spt="202" path="m,l,21600r21600,l21600,xe">
                <v:stroke joinstyle="miter"/>
                <v:path gradientshapeok="t" o:connecttype="rect"/>
              </v:shapetype>
              <v:shape id="مربع نص 2" o:spid="_x0000_s1026" type="#_x0000_t202" style="position:absolute;left:0;text-align:left;margin-left:1pt;margin-top:28.9pt;width:457.7pt;height:158.9pt;flip:x;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" fillcolor="#fae2d5 [661]" strokecolor="black [3200]" strokeweight="1.5pt">
                <v:textbox>
                  <w:txbxContent>
                    <w:p w14:paraId="522EE4FE" w14:textId="262704A3" w:rsidR="003F5C52" w:rsidRPr="00DE5FF7" w:rsidRDefault="003F5C52" w:rsidP="00DE5FF7">
                      <w:pPr>
                        <w:tabs>
                          <w:tab w:val="left" w:pos="1652"/>
                        </w:tabs>
                        <w:spacing w:line="240" w:lineRule="auto"/>
                        <w:ind w:firstLine="720"/>
                        <w:jc w:val="both"/>
                        <w:rPr>
                          <w:rFonts w:asciiTheme="majorBidi" w:eastAsia="Times New Roman" w:hAnsiTheme="majorBidi" w:cstheme="majorBidi"/>
                          <w:sz w:val="28"/>
                          <w:rtl/>
                          <w:lang w:bidi="ar-IQ"/>
                        </w:rPr>
                      </w:pPr>
                      <w:r w:rsidRPr="00DE5FF7">
                        <w:rPr>
                          <w:rFonts w:asciiTheme="majorBidi" w:eastAsia="Times New Roman" w:hAnsiTheme="majorBidi" w:cstheme="majorBidi"/>
                          <w:sz w:val="28"/>
                          <w:rtl/>
                          <w:lang w:bidi="ar-IQ"/>
                        </w:rPr>
                        <w:t>الدفع بعدم الاختصاص النوعي هو وسيلة قانونية يُثيرها أحد أطراف الدعوى، وغالبًا ما يكون المدعى عليه، للطعن في اختصاص المحكمة التي تنظر النزاع من حيث نوع القضية، أي ما إذا كانت المحكمة المختصة هي مدنية أو جزائية أو إدارية أو تجارية، وليس من حيث المكان أو القيمة. تلتزم المحكمة بالتحقق من اختصاصها النوعي من تلقاء نفسها، ولو لم يُثره الخصوم، لأن المسألة تتعلق بالنظام العام. وعند ثبوت الدفع، تقضي المحكمة بعدم اختصاصها وتحيل الدعوى إلى المحكمة المختصة إن كان ذلك ممكناً وتكمن الإشكالية عندما يتحول الدفع بعدم الاختصاص النوعي من وسيلة إجرائية للطعن في صحة نظر الدعوى إلى أداة لضبط الفاعلية الوظيفية للإجراءات القضائية نفسها وأن الاختصاص النوعي ليس مجرد قاعدة شكلية، بل ضمانات للحفاظ على توزيع القضايا بما يتلاءم مع طبيعة كل محكمة</w:t>
                      </w:r>
                      <w:r w:rsidRPr="00DE5FF7">
                        <w:rPr>
                          <w:rFonts w:asciiTheme="majorBidi" w:eastAsia="Times New Roman" w:hAnsiTheme="majorBidi" w:cstheme="majorBidi"/>
                          <w:sz w:val="28"/>
                          <w:lang w:bidi="ar-IQ"/>
                        </w:rPr>
                        <w:t xml:space="preserve"> </w:t>
                      </w:r>
                      <w:r w:rsidRPr="00DE5FF7">
                        <w:rPr>
                          <w:rFonts w:asciiTheme="majorBidi" w:eastAsia="Times New Roman" w:hAnsiTheme="majorBidi" w:cstheme="majorBidi"/>
                          <w:sz w:val="28"/>
                          <w:rtl/>
                          <w:lang w:bidi="ar-IQ"/>
                        </w:rPr>
                        <w:t>.</w:t>
                      </w:r>
                    </w:p>
                    <w:p w14:paraId="23469F5B" w14:textId="2AD0C51F" w:rsidR="003F5C52" w:rsidRPr="00DE5FF7" w:rsidRDefault="003F5C52" w:rsidP="00DE5FF7">
                      <w:pPr>
                        <w:spacing w:line="240" w:lineRule="auto"/>
                        <w:jc w:val="both"/>
                        <w:rPr>
                          <w:rFonts w:asciiTheme="majorBidi" w:hAnsiTheme="majorBidi" w:cstheme="majorBidi"/>
                          <w:lang w:bidi="ar-IQ"/>
                        </w:rPr>
                      </w:pPr>
                    </w:p>
                  </w:txbxContent>
                </v:textbox>
                <w10:wrap type="square"/>
              </v:shape>
            </w:pict>
          </mc:Fallback>
        </mc:AlternateContent>
      </w:r>
      <w:r>
        <w:rPr>
          <w:rFonts w:asciiTheme="majorBidi" w:eastAsia="Times New Roman" w:hAnsiTheme="majorBidi" w:cstheme="majorBidi" w:hint="cs"/>
          <w:b/>
          <w:bCs/>
          <w:sz w:val="28"/>
          <w:rtl/>
        </w:rPr>
        <w:t>المستخلص</w:t>
      </w:r>
    </w:p>
    <w:p w14:paraId="59630696" w14:textId="01CE936A" w:rsidR="000035A2" w:rsidRPr="00DE5FF7" w:rsidRDefault="00DE5FF7" w:rsidP="00DE5FF7">
      <w:pPr>
        <w:tabs>
          <w:tab w:val="left" w:pos="1652"/>
        </w:tabs>
        <w:jc w:val="both"/>
        <w:rPr>
          <w:rFonts w:asciiTheme="majorBidi" w:eastAsia="Times New Roman" w:hAnsiTheme="majorBidi" w:cstheme="majorBidi"/>
          <w:b/>
          <w:bCs/>
          <w:sz w:val="28"/>
          <w:lang w:bidi="ar-IQ"/>
        </w:rPr>
      </w:pPr>
      <w:r w:rsidRPr="00DE5FF7">
        <w:rPr>
          <w:rFonts w:asciiTheme="majorBidi" w:eastAsia="Times New Roman" w:hAnsiTheme="majorBidi" w:cstheme="majorBidi"/>
          <w:b/>
          <w:bCs/>
          <w:sz w:val="28"/>
          <w:rtl/>
          <w:lang w:bidi="ar-IQ"/>
        </w:rPr>
        <w:t xml:space="preserve">الكلمات الافتتاحية: </w:t>
      </w:r>
      <w:r w:rsidRPr="00DE5FF7">
        <w:rPr>
          <w:rFonts w:asciiTheme="majorBidi" w:eastAsia="Times New Roman" w:hAnsiTheme="majorBidi" w:cstheme="majorBidi"/>
          <w:sz w:val="28"/>
          <w:rtl/>
        </w:rPr>
        <w:t xml:space="preserve">عدم </w:t>
      </w:r>
      <w:r w:rsidRPr="00DE5FF7">
        <w:rPr>
          <w:rFonts w:asciiTheme="majorBidi" w:eastAsia="Times New Roman" w:hAnsiTheme="majorBidi" w:cstheme="majorBidi"/>
          <w:sz w:val="28"/>
          <w:rtl/>
          <w:lang w:bidi="ar-IQ"/>
        </w:rPr>
        <w:t>الاختصاص، النوعي، أداة، ضبط، الوظيفة الإجرائية.</w:t>
      </w:r>
    </w:p>
    <w:p w14:paraId="09182092" w14:textId="71CC33EA" w:rsidR="003F5C52" w:rsidRPr="00DE5FF7" w:rsidRDefault="003F5C52" w:rsidP="00DE5FF7">
      <w:pPr>
        <w:tabs>
          <w:tab w:val="left" w:pos="1652"/>
        </w:tabs>
        <w:bidi w:val="0"/>
        <w:jc w:val="both"/>
        <w:rPr>
          <w:rFonts w:asciiTheme="majorBidi" w:eastAsia="Times New Roman" w:hAnsiTheme="majorBidi" w:cstheme="majorBidi"/>
          <w:b/>
          <w:bCs/>
          <w:sz w:val="28"/>
          <w:lang w:bidi="ar-IQ"/>
        </w:rPr>
      </w:pPr>
      <w:r w:rsidRPr="00DE5FF7">
        <w:rPr>
          <w:rFonts w:asciiTheme="majorBidi" w:eastAsia="Times New Roman" w:hAnsiTheme="majorBidi" w:cstheme="majorBidi"/>
          <w:b/>
          <w:bCs/>
          <w:sz w:val="28"/>
          <w:lang w:bidi="ar-IQ"/>
        </w:rPr>
        <w:t>Abstract</w:t>
      </w:r>
    </w:p>
    <w:p w14:paraId="7DA64080" w14:textId="0D2B7EBE" w:rsidR="003F5C52" w:rsidRPr="00DE5FF7" w:rsidRDefault="003F5C52" w:rsidP="00DE5FF7">
      <w:pPr>
        <w:tabs>
          <w:tab w:val="left" w:pos="1652"/>
        </w:tabs>
        <w:bidi w:val="0"/>
        <w:spacing w:line="240" w:lineRule="auto"/>
        <w:jc w:val="both"/>
        <w:rPr>
          <w:rFonts w:asciiTheme="majorBidi" w:eastAsia="Times New Roman" w:hAnsiTheme="majorBidi" w:cstheme="majorBidi"/>
          <w:sz w:val="24"/>
          <w:szCs w:val="24"/>
          <w:lang w:bidi="ar-IQ"/>
        </w:rPr>
      </w:pPr>
      <w:r w:rsidRPr="00DE5FF7">
        <w:rPr>
          <w:rFonts w:asciiTheme="majorBidi" w:eastAsia="Times New Roman" w:hAnsiTheme="majorBidi" w:cstheme="majorBidi"/>
          <w:sz w:val="24"/>
          <w:szCs w:val="24"/>
          <w:lang w:bidi="ar-IQ"/>
        </w:rPr>
        <w:t xml:space="preserve">The plea of lack of subject-matter jurisdiction is a legal means raised by one of the parties to a lawsuit, often the defendant, to challenge the jurisdiction of the court hearing the dispute based on the type of case—that is, whether the competent court is civil, criminal, administrative, or commercial—rather than on the location or value of the case. The court is obligated to verify its subject-matter jurisdiction on its own initiative, even if it is not raised by the parties, as the </w:t>
      </w:r>
      <w:r w:rsidRPr="00DE5FF7">
        <w:rPr>
          <w:rFonts w:asciiTheme="majorBidi" w:eastAsia="Times New Roman" w:hAnsiTheme="majorBidi" w:cstheme="majorBidi"/>
          <w:sz w:val="24"/>
          <w:szCs w:val="24"/>
          <w:lang w:bidi="ar-IQ"/>
        </w:rPr>
        <w:lastRenderedPageBreak/>
        <w:t>issue relates to public order. When the plea is proven, the court rules that it lacks jurisdiction and refers the case to the competent court, if possible</w:t>
      </w:r>
      <w:r w:rsidRPr="00DE5FF7">
        <w:rPr>
          <w:rFonts w:asciiTheme="majorBidi" w:eastAsia="Times New Roman" w:hAnsiTheme="majorBidi" w:cstheme="majorBidi"/>
          <w:sz w:val="24"/>
          <w:szCs w:val="24"/>
          <w:rtl/>
          <w:lang w:bidi="ar-IQ"/>
        </w:rPr>
        <w:t>.</w:t>
      </w:r>
    </w:p>
    <w:p w14:paraId="4B8B8C45" w14:textId="0363AC6A" w:rsidR="00DE5FF7" w:rsidRPr="00DE5FF7" w:rsidRDefault="003F5C52" w:rsidP="00DE5FF7">
      <w:pPr>
        <w:tabs>
          <w:tab w:val="left" w:pos="1652"/>
        </w:tabs>
        <w:bidi w:val="0"/>
        <w:spacing w:line="240" w:lineRule="auto"/>
        <w:jc w:val="both"/>
        <w:rPr>
          <w:rFonts w:asciiTheme="majorBidi" w:eastAsia="Times New Roman" w:hAnsiTheme="majorBidi" w:cstheme="majorBidi"/>
          <w:sz w:val="24"/>
          <w:szCs w:val="24"/>
          <w:rtl/>
          <w:lang w:bidi="ar-IQ"/>
        </w:rPr>
      </w:pPr>
      <w:r w:rsidRPr="00DE5FF7">
        <w:rPr>
          <w:rFonts w:asciiTheme="majorBidi" w:eastAsia="Times New Roman" w:hAnsiTheme="majorBidi" w:cstheme="majorBidi"/>
          <w:b/>
          <w:bCs/>
          <w:sz w:val="24"/>
          <w:szCs w:val="24"/>
          <w:lang w:bidi="ar-IQ"/>
        </w:rPr>
        <w:t>Keywords</w:t>
      </w:r>
      <w:r w:rsidRPr="00DE5FF7">
        <w:rPr>
          <w:rFonts w:asciiTheme="majorBidi" w:eastAsia="Times New Roman" w:hAnsiTheme="majorBidi" w:cstheme="majorBidi"/>
          <w:sz w:val="24"/>
          <w:szCs w:val="24"/>
          <w:rtl/>
          <w:lang w:bidi="ar-IQ"/>
        </w:rPr>
        <w:t>:</w:t>
      </w:r>
      <w:r w:rsidRPr="00DE5FF7">
        <w:rPr>
          <w:rFonts w:asciiTheme="majorBidi" w:eastAsia="Times New Roman" w:hAnsiTheme="majorBidi" w:cstheme="majorBidi"/>
          <w:sz w:val="24"/>
          <w:szCs w:val="24"/>
          <w:lang w:bidi="ar-IQ"/>
        </w:rPr>
        <w:t xml:space="preserve"> Lack of Subject-Matter Jurisdiction, Tool, Regulating, Procedural Function</w:t>
      </w:r>
    </w:p>
    <w:p w14:paraId="60976B2B" w14:textId="15F74E82" w:rsidR="003F5C52" w:rsidRPr="00DE5FF7" w:rsidRDefault="003F5C52" w:rsidP="00DE5FF7">
      <w:pPr>
        <w:jc w:val="center"/>
        <w:rPr>
          <w:rFonts w:asciiTheme="majorBidi" w:eastAsia="Times New Roman" w:hAnsiTheme="majorBidi" w:cstheme="majorBidi"/>
          <w:b/>
          <w:bCs/>
          <w:sz w:val="32"/>
          <w:szCs w:val="32"/>
          <w:rtl/>
        </w:rPr>
      </w:pPr>
      <w:r w:rsidRPr="00DE5FF7">
        <w:rPr>
          <w:rFonts w:asciiTheme="majorBidi" w:eastAsia="Times New Roman" w:hAnsiTheme="majorBidi" w:cstheme="majorBidi"/>
          <w:b/>
          <w:bCs/>
          <w:sz w:val="32"/>
          <w:szCs w:val="32"/>
          <w:rtl/>
        </w:rPr>
        <w:t xml:space="preserve">مقدمة </w:t>
      </w:r>
    </w:p>
    <w:p w14:paraId="47BC9928" w14:textId="77777777" w:rsidR="003F5C52" w:rsidRPr="00DE5FF7" w:rsidRDefault="003F5C52" w:rsidP="00DE5FF7">
      <w:pPr>
        <w:ind w:firstLine="720"/>
        <w:jc w:val="both"/>
        <w:rPr>
          <w:rFonts w:asciiTheme="majorBidi" w:eastAsia="Times New Roman" w:hAnsiTheme="majorBidi" w:cstheme="majorBidi"/>
          <w:sz w:val="28"/>
          <w:rtl/>
        </w:rPr>
      </w:pPr>
      <w:r w:rsidRPr="00DE5FF7">
        <w:rPr>
          <w:rFonts w:asciiTheme="majorBidi" w:eastAsia="Times New Roman" w:hAnsiTheme="majorBidi" w:cstheme="majorBidi"/>
          <w:sz w:val="28"/>
          <w:rtl/>
        </w:rPr>
        <w:t xml:space="preserve">   لا شك أن حاجة الإنسان إلى القانون حاجة ملحة وضرورية ، فهو لا يشعر بالأمن ، ولا يعرف حقوقه ، ولا ما يترتب عليه من التزامات ، من دون وجود قانون يكفل تنظيم حياته, كما أن وجود سلطة يمكن أن يلجأ إليها ليطلب منها حماية حقوقه عند التعدي عليها ، أمر يلازم ضرورة وجود ذلك القانون ، لأن العدالة الذاتية – وإن لم تكن ضرباً من الخيال ، لوجود حالات كثيرة ينال فيها الأشخاص حقوقهم بالتراضي دون تدخل طرف ثالث – قد تفضي إلى الفوضى ، من خلال اللجوء للقوة لفرض ما يعتقده الإنسان لحماية حقوقه أو استيفائها, لذا فإن القانون يستهدف بالضرورة تحقيق العدل من خلال القواعد القانونية الموضوعية والإجرائية على حد سواء ، تلك القواعد التي تعالج جوانب الحياة المختلفة .</w:t>
      </w:r>
    </w:p>
    <w:p w14:paraId="294C5E89" w14:textId="77777777" w:rsidR="003F5C52" w:rsidRPr="00DE5FF7" w:rsidRDefault="003F5C52" w:rsidP="00DE5FF7">
      <w:pPr>
        <w:jc w:val="both"/>
        <w:rPr>
          <w:rFonts w:asciiTheme="majorBidi" w:eastAsia="Times New Roman" w:hAnsiTheme="majorBidi" w:cstheme="majorBidi"/>
          <w:sz w:val="28"/>
          <w:rtl/>
        </w:rPr>
      </w:pPr>
      <w:r w:rsidRPr="00DE5FF7">
        <w:rPr>
          <w:rFonts w:asciiTheme="majorBidi" w:eastAsia="Times New Roman" w:hAnsiTheme="majorBidi" w:cstheme="majorBidi"/>
          <w:sz w:val="28"/>
          <w:rtl/>
        </w:rPr>
        <w:t xml:space="preserve">   وقد لا يجدي نفعاً أن تكون القواعد القانونية الموضوعية عادلة في مضمونها ، ما لم تكْ هناك قواعد قانونية إجرائية عادلة أيضاً ، لأن بعض الخصوم قد يَنفُذون من بعض ثغرات القواعد القانونية الاجرائية لتعطيل تطبيق نصوص القواعد القانونية الموضوعية ، من خلال الاستفادة من أخطاء خصومهم ، أو الاستفادة من اختلاف وجهات النظر القانونية في جوانب تفصيلية في حالات دقيقة من تطبيقات القانون ، وفقاً لثقافة الخصوم أو وكلائهم ، مما قد يؤدي في بعض الحالات إلى إعاقة بعض المتخاصمين من الوصول إلى حقوقهم الموضوعية المشروعة.</w:t>
      </w:r>
    </w:p>
    <w:p w14:paraId="66648E61" w14:textId="4E56E34E" w:rsidR="003F5C52" w:rsidRPr="00DE5FF7" w:rsidRDefault="003F5C52" w:rsidP="00DE5FF7">
      <w:pPr>
        <w:rPr>
          <w:rFonts w:asciiTheme="majorBidi" w:eastAsia="Times New Roman" w:hAnsiTheme="majorBidi" w:cstheme="majorBidi"/>
          <w:b/>
          <w:bCs/>
          <w:sz w:val="28"/>
          <w:rtl/>
        </w:rPr>
      </w:pPr>
      <w:r w:rsidRPr="00DE5FF7">
        <w:rPr>
          <w:rFonts w:asciiTheme="majorBidi" w:eastAsia="Times New Roman" w:hAnsiTheme="majorBidi" w:cstheme="majorBidi"/>
          <w:b/>
          <w:bCs/>
          <w:sz w:val="28"/>
          <w:rtl/>
        </w:rPr>
        <w:t>أهمية البحث</w:t>
      </w:r>
      <w:r w:rsidR="00DE5FF7">
        <w:rPr>
          <w:rFonts w:asciiTheme="majorBidi" w:eastAsia="Times New Roman" w:hAnsiTheme="majorBidi" w:cstheme="majorBidi" w:hint="cs"/>
          <w:b/>
          <w:bCs/>
          <w:sz w:val="28"/>
          <w:rtl/>
        </w:rPr>
        <w:t>:</w:t>
      </w:r>
      <w:r w:rsidRPr="00DE5FF7">
        <w:rPr>
          <w:rFonts w:asciiTheme="majorBidi" w:eastAsia="Times New Roman" w:hAnsiTheme="majorBidi" w:cstheme="majorBidi"/>
          <w:sz w:val="28"/>
          <w:rtl/>
        </w:rPr>
        <w:t xml:space="preserve">  إن أهمية الدراسة تنبع من أهمية موضوعه ، من حيث قيمته النظرية ، والحاجة له على مستوى التطبيق العملي </w:t>
      </w:r>
      <w:r w:rsidRPr="00DE5FF7">
        <w:rPr>
          <w:rFonts w:asciiTheme="majorBidi" w:eastAsia="Times New Roman" w:hAnsiTheme="majorBidi" w:cstheme="majorBidi"/>
          <w:sz w:val="28"/>
          <w:rtl/>
          <w:lang w:bidi="ar-IQ"/>
        </w:rPr>
        <w:t>في قانون المرافعات</w:t>
      </w:r>
      <w:r w:rsidRPr="00DE5FF7">
        <w:rPr>
          <w:rFonts w:asciiTheme="majorBidi" w:eastAsia="Times New Roman" w:hAnsiTheme="majorBidi" w:cstheme="majorBidi"/>
          <w:sz w:val="28"/>
          <w:rtl/>
        </w:rPr>
        <w:t>. ولا شك إن الاستجابة الى الدفع بعدم الاختصاص النوعي يعني إحالة الدعوى على محكمة أخرى لا تتحد معها في الاختصاص النوعي نفسه . ولا يخفى على ما في هذا الدفع من أهمية تتعلق بنفقات الانتقال وقرب وبعد المحكمة واختلاف شخص القاضي واعوانه الذين يباشرون النظر بالدعوى ، وما يحظى به كل دفع من طرق طعن يمكن للخصوم ممارستها عند رفض طلبهم . إضافة إلى أن مخالفة الاختصاص النوعي له آثار خطيرة على القيمة القانونية للأحكام القضائية عند صدورها من محاكم غير مختصة نوعياً.</w:t>
      </w:r>
    </w:p>
    <w:p w14:paraId="1E2FA45F" w14:textId="6B9CA07A" w:rsidR="003F5C52" w:rsidRPr="00DE5FF7" w:rsidRDefault="003F5C52" w:rsidP="00DE5FF7">
      <w:pPr>
        <w:rPr>
          <w:rFonts w:asciiTheme="majorBidi" w:eastAsia="Times New Roman" w:hAnsiTheme="majorBidi" w:cstheme="majorBidi"/>
          <w:b/>
          <w:bCs/>
          <w:sz w:val="28"/>
          <w:rtl/>
        </w:rPr>
      </w:pPr>
      <w:r w:rsidRPr="00DE5FF7">
        <w:rPr>
          <w:rFonts w:asciiTheme="majorBidi" w:eastAsia="Times New Roman" w:hAnsiTheme="majorBidi" w:cstheme="majorBidi"/>
          <w:b/>
          <w:bCs/>
          <w:sz w:val="28"/>
          <w:rtl/>
        </w:rPr>
        <w:t>مشكلة البحث</w:t>
      </w:r>
      <w:r w:rsidR="00DE5FF7">
        <w:rPr>
          <w:rFonts w:asciiTheme="majorBidi" w:eastAsia="Times New Roman" w:hAnsiTheme="majorBidi" w:cstheme="majorBidi" w:hint="cs"/>
          <w:b/>
          <w:bCs/>
          <w:sz w:val="28"/>
          <w:rtl/>
        </w:rPr>
        <w:t xml:space="preserve"> : </w:t>
      </w:r>
      <w:r w:rsidRPr="00DE5FF7">
        <w:rPr>
          <w:rFonts w:asciiTheme="majorBidi" w:eastAsia="Times New Roman" w:hAnsiTheme="majorBidi" w:cstheme="majorBidi"/>
          <w:sz w:val="28"/>
          <w:rtl/>
        </w:rPr>
        <w:t xml:space="preserve">تتركز مشكلة الدراسة حول معالجة النظام القانوني لدفع بعدم اختصاص المحاكم المدنية والنوعي  بشكل عام ، من حيث النصوص القانونية التي تنظمه، والقصور التشريعي الذي يعتريه ، وبيان دور القضاء في سد النقص التشريعي الذي أعترى نظامه القانوني في جوانبه المتعددة . وابراز الدور التطبيقي في تحديد الاختصاص المكاني والنوعي للمحاكم المدنية حيث يعد الدفع بعدم الاختصاص </w:t>
      </w:r>
      <w:r w:rsidRPr="00DE5FF7">
        <w:rPr>
          <w:rFonts w:asciiTheme="majorBidi" w:eastAsia="Times New Roman" w:hAnsiTheme="majorBidi" w:cstheme="majorBidi"/>
          <w:sz w:val="28"/>
          <w:rtl/>
        </w:rPr>
        <w:lastRenderedPageBreak/>
        <w:t>النوعي من مجرد وسيلة اجرائية للطعن في صحة نظر الدعوى ، إلى أداة لضبط الفاعلية الوظيفية للإجراءات القضائية نفسها.</w:t>
      </w:r>
    </w:p>
    <w:p w14:paraId="31F68FCB" w14:textId="3AA00A69" w:rsidR="003F5C52" w:rsidRPr="00DE5FF7" w:rsidRDefault="003F5C52" w:rsidP="00DE5FF7">
      <w:pPr>
        <w:jc w:val="both"/>
        <w:rPr>
          <w:rFonts w:asciiTheme="majorBidi" w:eastAsia="Times New Roman" w:hAnsiTheme="majorBidi" w:cstheme="majorBidi"/>
          <w:b/>
          <w:bCs/>
          <w:sz w:val="28"/>
          <w:rtl/>
        </w:rPr>
      </w:pPr>
      <w:r w:rsidRPr="00DE5FF7">
        <w:rPr>
          <w:rFonts w:asciiTheme="majorBidi" w:eastAsia="Times New Roman" w:hAnsiTheme="majorBidi" w:cstheme="majorBidi"/>
          <w:b/>
          <w:bCs/>
          <w:sz w:val="28"/>
          <w:rtl/>
        </w:rPr>
        <w:t>منهج البحث</w:t>
      </w:r>
      <w:r w:rsidR="00DE5FF7">
        <w:rPr>
          <w:rFonts w:asciiTheme="majorBidi" w:eastAsia="Times New Roman" w:hAnsiTheme="majorBidi" w:cstheme="majorBidi" w:hint="cs"/>
          <w:b/>
          <w:bCs/>
          <w:sz w:val="28"/>
          <w:rtl/>
        </w:rPr>
        <w:t>:</w:t>
      </w:r>
      <w:r w:rsidRPr="00DE5FF7">
        <w:rPr>
          <w:rFonts w:asciiTheme="majorBidi" w:eastAsia="Times New Roman" w:hAnsiTheme="majorBidi" w:cstheme="majorBidi"/>
          <w:b/>
          <w:bCs/>
          <w:sz w:val="28"/>
          <w:rtl/>
        </w:rPr>
        <w:t xml:space="preserve">  </w:t>
      </w:r>
      <w:r w:rsidRPr="00DE5FF7">
        <w:rPr>
          <w:rFonts w:asciiTheme="majorBidi" w:eastAsia="Times New Roman" w:hAnsiTheme="majorBidi" w:cstheme="majorBidi"/>
          <w:sz w:val="28"/>
          <w:rtl/>
        </w:rPr>
        <w:t>يعتمد البحث على المنهج التحليلي في دراسة النصوص القانونية ، وما طرحه الفقه بخصوص موضوع الدراسة ، كما تقوم الدراسة باعتماد المنهج التطبيقي العملي بالإشارة لحلول القضاء في المسائل التفصيلية التي ترتبط بخطة البحث ، وبيان الثغرات القانونية والعملية لمشكلة الدراسة التي تم بيانها .</w:t>
      </w:r>
    </w:p>
    <w:p w14:paraId="59C9BE16" w14:textId="2CDCA500" w:rsidR="003F5C52" w:rsidRPr="00DE5FF7" w:rsidRDefault="003F5C52" w:rsidP="00DE5FF7">
      <w:pPr>
        <w:jc w:val="both"/>
        <w:rPr>
          <w:rFonts w:asciiTheme="majorBidi" w:eastAsia="Times New Roman" w:hAnsiTheme="majorBidi" w:cstheme="majorBidi"/>
          <w:b/>
          <w:bCs/>
          <w:sz w:val="28"/>
          <w:rtl/>
        </w:rPr>
      </w:pPr>
      <w:r w:rsidRPr="00DE5FF7">
        <w:rPr>
          <w:rFonts w:asciiTheme="majorBidi" w:eastAsia="Times New Roman" w:hAnsiTheme="majorBidi" w:cstheme="majorBidi"/>
          <w:b/>
          <w:bCs/>
          <w:sz w:val="28"/>
          <w:rtl/>
        </w:rPr>
        <w:t>هيكلية البحث</w:t>
      </w:r>
      <w:r w:rsidR="00DE5FF7">
        <w:rPr>
          <w:rFonts w:asciiTheme="majorBidi" w:eastAsia="Times New Roman" w:hAnsiTheme="majorBidi" w:cstheme="majorBidi" w:hint="cs"/>
          <w:b/>
          <w:bCs/>
          <w:sz w:val="28"/>
          <w:rtl/>
        </w:rPr>
        <w:t>:</w:t>
      </w:r>
      <w:r w:rsidRPr="00DE5FF7">
        <w:rPr>
          <w:rFonts w:asciiTheme="majorBidi" w:eastAsia="Times New Roman" w:hAnsiTheme="majorBidi" w:cstheme="majorBidi"/>
          <w:sz w:val="28"/>
          <w:rtl/>
        </w:rPr>
        <w:t xml:space="preserve">   </w:t>
      </w:r>
      <w:r w:rsidR="00DE5FF7">
        <w:rPr>
          <w:rFonts w:asciiTheme="majorBidi" w:eastAsia="Times New Roman" w:hAnsiTheme="majorBidi" w:cstheme="majorBidi" w:hint="cs"/>
          <w:sz w:val="28"/>
          <w:rtl/>
        </w:rPr>
        <w:t>قسمنا</w:t>
      </w:r>
      <w:r w:rsidRPr="00DE5FF7">
        <w:rPr>
          <w:rFonts w:asciiTheme="majorBidi" w:eastAsia="Times New Roman" w:hAnsiTheme="majorBidi" w:cstheme="majorBidi"/>
          <w:sz w:val="28"/>
          <w:rtl/>
        </w:rPr>
        <w:t xml:space="preserve"> هذه الدراسة على ثلاثة مطالب نتناول فيها ما يلي:-</w:t>
      </w:r>
    </w:p>
    <w:p w14:paraId="2B8E2983" w14:textId="77777777" w:rsidR="003F5C52" w:rsidRPr="00DE5FF7" w:rsidRDefault="003F5C52" w:rsidP="00DE5FF7">
      <w:pPr>
        <w:jc w:val="both"/>
        <w:rPr>
          <w:rFonts w:asciiTheme="majorBidi" w:eastAsia="Times New Roman" w:hAnsiTheme="majorBidi" w:cstheme="majorBidi"/>
          <w:b/>
          <w:bCs/>
          <w:sz w:val="28"/>
          <w:rtl/>
        </w:rPr>
      </w:pPr>
      <w:r w:rsidRPr="00DE5FF7">
        <w:rPr>
          <w:rFonts w:asciiTheme="majorBidi" w:eastAsia="Times New Roman" w:hAnsiTheme="majorBidi" w:cstheme="majorBidi"/>
          <w:b/>
          <w:bCs/>
          <w:sz w:val="28"/>
          <w:rtl/>
        </w:rPr>
        <w:t>المطلب الأول:</w:t>
      </w:r>
      <w:r w:rsidRPr="00DE5FF7">
        <w:rPr>
          <w:rFonts w:asciiTheme="majorBidi" w:eastAsia="Times New Roman" w:hAnsiTheme="majorBidi" w:cstheme="majorBidi"/>
          <w:b/>
          <w:bCs/>
          <w:sz w:val="28"/>
          <w:rtl/>
          <w:lang w:bidi="ar-IQ"/>
        </w:rPr>
        <w:t xml:space="preserve">  مفهوم </w:t>
      </w:r>
      <w:r w:rsidRPr="00DE5FF7">
        <w:rPr>
          <w:rFonts w:asciiTheme="majorBidi" w:eastAsia="Times New Roman" w:hAnsiTheme="majorBidi" w:cstheme="majorBidi"/>
          <w:b/>
          <w:bCs/>
          <w:sz w:val="28"/>
          <w:rtl/>
        </w:rPr>
        <w:t>الدفع بعدم الاختصاص النوعي.</w:t>
      </w:r>
    </w:p>
    <w:p w14:paraId="07DB4010" w14:textId="77777777" w:rsidR="003F5C52" w:rsidRPr="00DE5FF7" w:rsidRDefault="003F5C52" w:rsidP="00DE5FF7">
      <w:pPr>
        <w:jc w:val="both"/>
        <w:rPr>
          <w:rFonts w:asciiTheme="majorBidi" w:eastAsia="Times New Roman" w:hAnsiTheme="majorBidi" w:cstheme="majorBidi"/>
          <w:b/>
          <w:bCs/>
          <w:sz w:val="28"/>
          <w:rtl/>
        </w:rPr>
      </w:pPr>
      <w:r w:rsidRPr="00DE5FF7">
        <w:rPr>
          <w:rFonts w:asciiTheme="majorBidi" w:eastAsia="Times New Roman" w:hAnsiTheme="majorBidi" w:cstheme="majorBidi"/>
          <w:b/>
          <w:bCs/>
          <w:sz w:val="28"/>
          <w:rtl/>
          <w:lang w:bidi="ar-IQ"/>
        </w:rPr>
        <w:t>المطلب الثاني:</w:t>
      </w:r>
      <w:r w:rsidRPr="00DE5FF7">
        <w:rPr>
          <w:rFonts w:asciiTheme="majorBidi" w:eastAsia="Times New Roman" w:hAnsiTheme="majorBidi" w:cstheme="majorBidi"/>
          <w:b/>
          <w:bCs/>
          <w:sz w:val="28"/>
          <w:rtl/>
        </w:rPr>
        <w:t xml:space="preserve"> الاختصاص النوعي للمحاكم المدنية.</w:t>
      </w:r>
    </w:p>
    <w:p w14:paraId="01356581" w14:textId="77777777" w:rsidR="003F5C52" w:rsidRPr="00DE5FF7" w:rsidRDefault="003F5C52" w:rsidP="00DE5FF7">
      <w:pPr>
        <w:jc w:val="both"/>
        <w:rPr>
          <w:rFonts w:asciiTheme="majorBidi" w:eastAsia="Times New Roman" w:hAnsiTheme="majorBidi" w:cstheme="majorBidi"/>
          <w:b/>
          <w:bCs/>
          <w:sz w:val="28"/>
          <w:rtl/>
        </w:rPr>
      </w:pPr>
      <w:r w:rsidRPr="00DE5FF7">
        <w:rPr>
          <w:rFonts w:asciiTheme="majorBidi" w:eastAsia="Times New Roman" w:hAnsiTheme="majorBidi" w:cstheme="majorBidi"/>
          <w:b/>
          <w:bCs/>
          <w:sz w:val="28"/>
          <w:rtl/>
        </w:rPr>
        <w:t>المطلب الثالث: آثار الدفع بعدم الاختصاص النوعي أمام الدعاوى المدنية.</w:t>
      </w:r>
    </w:p>
    <w:p w14:paraId="7883C879" w14:textId="77777777" w:rsidR="003F5C52" w:rsidRPr="00DE5FF7" w:rsidRDefault="003F5C52" w:rsidP="00867FC8">
      <w:pPr>
        <w:tabs>
          <w:tab w:val="left" w:pos="1652"/>
        </w:tabs>
        <w:spacing w:line="240" w:lineRule="auto"/>
        <w:jc w:val="center"/>
        <w:rPr>
          <w:rFonts w:asciiTheme="majorBidi" w:eastAsia="Times New Roman" w:hAnsiTheme="majorBidi" w:cstheme="majorBidi"/>
          <w:b/>
          <w:bCs/>
          <w:sz w:val="32"/>
          <w:szCs w:val="32"/>
          <w:rtl/>
          <w:lang w:bidi="ar-IQ"/>
        </w:rPr>
      </w:pPr>
      <w:r w:rsidRPr="00DE5FF7">
        <w:rPr>
          <w:rFonts w:asciiTheme="majorBidi" w:eastAsia="Times New Roman" w:hAnsiTheme="majorBidi" w:cstheme="majorBidi"/>
          <w:b/>
          <w:bCs/>
          <w:sz w:val="32"/>
          <w:szCs w:val="32"/>
          <w:rtl/>
          <w:lang w:bidi="ar-IQ"/>
        </w:rPr>
        <w:t>المطلب الأول</w:t>
      </w:r>
    </w:p>
    <w:p w14:paraId="72AEB627" w14:textId="77777777" w:rsidR="003F5C52" w:rsidRPr="00DE5FF7" w:rsidRDefault="003F5C52" w:rsidP="00867FC8">
      <w:pPr>
        <w:tabs>
          <w:tab w:val="left" w:pos="1652"/>
        </w:tabs>
        <w:spacing w:line="240" w:lineRule="auto"/>
        <w:jc w:val="center"/>
        <w:rPr>
          <w:rFonts w:asciiTheme="majorBidi" w:eastAsia="Times New Roman" w:hAnsiTheme="majorBidi" w:cstheme="majorBidi"/>
          <w:b/>
          <w:bCs/>
          <w:sz w:val="32"/>
          <w:szCs w:val="32"/>
          <w:rtl/>
        </w:rPr>
      </w:pPr>
      <w:r w:rsidRPr="00DE5FF7">
        <w:rPr>
          <w:rFonts w:asciiTheme="majorBidi" w:eastAsia="Times New Roman" w:hAnsiTheme="majorBidi" w:cstheme="majorBidi"/>
          <w:b/>
          <w:bCs/>
          <w:sz w:val="32"/>
          <w:szCs w:val="32"/>
          <w:rtl/>
        </w:rPr>
        <w:t>مفهوم عدم الاختصاص النوعي</w:t>
      </w:r>
    </w:p>
    <w:p w14:paraId="338EE6A3"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يحدد القانون اختصاص محكمة ما ويقع عليها من القضايا التي يحق لها الفصل فيها وفق القواعد القانونية التي تراعي في هذا المجال تنوع الاختصاص وتعدد المحاكم بما فيها الاختصاص النوعي في سبيل تحقيق مبدأ الاقتصاد في الإجراءات وتيسير التقاضي وحسن سير العدالة.</w:t>
      </w:r>
    </w:p>
    <w:p w14:paraId="0C32C76C"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وعليه سنقسم هذا المطلب على فرعين، فأما الفرع الأول فيتناول تعريف الاختصاص النوعي ، وأما الفرع الثاني فيُخصص لدراسة تتميز الاختصاص النوعي مما يشتبه به من أوضاع قانونية :</w:t>
      </w:r>
    </w:p>
    <w:p w14:paraId="1319234C" w14:textId="77777777" w:rsidR="003F5C52" w:rsidRPr="00867FC8" w:rsidRDefault="003F5C52" w:rsidP="00867FC8">
      <w:pPr>
        <w:tabs>
          <w:tab w:val="left" w:pos="1652"/>
        </w:tabs>
        <w:spacing w:line="240" w:lineRule="auto"/>
        <w:jc w:val="center"/>
        <w:rPr>
          <w:rFonts w:asciiTheme="majorBidi" w:eastAsia="Times New Roman" w:hAnsiTheme="majorBidi" w:cstheme="majorBidi"/>
          <w:b/>
          <w:bCs/>
          <w:sz w:val="28"/>
          <w:rtl/>
          <w:lang w:bidi="ar-IQ"/>
        </w:rPr>
      </w:pPr>
      <w:r w:rsidRPr="00867FC8">
        <w:rPr>
          <w:rFonts w:asciiTheme="majorBidi" w:eastAsia="Times New Roman" w:hAnsiTheme="majorBidi" w:cstheme="majorBidi"/>
          <w:b/>
          <w:bCs/>
          <w:sz w:val="28"/>
          <w:rtl/>
          <w:lang w:bidi="ar-IQ"/>
        </w:rPr>
        <w:t>الفرع الأول</w:t>
      </w:r>
    </w:p>
    <w:p w14:paraId="466BE2C4" w14:textId="77777777" w:rsidR="003F5C52" w:rsidRPr="00867FC8" w:rsidRDefault="003F5C52" w:rsidP="00867FC8">
      <w:pPr>
        <w:tabs>
          <w:tab w:val="left" w:pos="1652"/>
        </w:tabs>
        <w:spacing w:line="240" w:lineRule="auto"/>
        <w:jc w:val="center"/>
        <w:rPr>
          <w:rFonts w:asciiTheme="majorBidi" w:eastAsia="Times New Roman" w:hAnsiTheme="majorBidi" w:cstheme="majorBidi"/>
          <w:b/>
          <w:bCs/>
          <w:sz w:val="28"/>
          <w:rtl/>
        </w:rPr>
      </w:pPr>
      <w:r w:rsidRPr="00867FC8">
        <w:rPr>
          <w:rFonts w:asciiTheme="majorBidi" w:eastAsia="Times New Roman" w:hAnsiTheme="majorBidi" w:cstheme="majorBidi"/>
          <w:b/>
          <w:bCs/>
          <w:sz w:val="28"/>
          <w:rtl/>
        </w:rPr>
        <w:t>تعريف عدم الاختصاص النوعي</w:t>
      </w:r>
    </w:p>
    <w:p w14:paraId="33E74FF9"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 xml:space="preserve">تتحدد ولاية جهة المحاكم بطريقة سلبية, فالأصل أن لهذه الجهة ولاية القضاء في الدولة ، باستثناء ما يخرج من ولايتها . وقد يحدث هذا الخروج بصفة عامة من قضاء الدولة, فتخرج الدعوى بالتالي من ولاية جهة المحاكم في الدولة . وقد تدخل في ولاية القضاء بالدولة، ولكن في ولاية جهة أخرى ، أو في ولاية محكمة استثنائية, فتخرج لهذا من ولاية جهة المحاكم </w:t>
      </w:r>
      <w:r w:rsidRPr="00DE5FF7">
        <w:rPr>
          <w:rFonts w:asciiTheme="majorBidi" w:hAnsiTheme="majorBidi" w:cstheme="majorBidi"/>
          <w:sz w:val="28"/>
          <w:vertAlign w:val="superscript"/>
          <w:rtl/>
        </w:rPr>
        <w:t>(</w:t>
      </w:r>
      <w:r w:rsidRPr="00DE5FF7">
        <w:rPr>
          <w:rFonts w:asciiTheme="majorBidi" w:hAnsiTheme="majorBidi" w:cstheme="majorBidi"/>
          <w:sz w:val="28"/>
          <w:vertAlign w:val="superscript"/>
          <w:rtl/>
        </w:rPr>
        <w:footnoteReference w:id="2"/>
      </w:r>
      <w:r w:rsidRPr="00DE5FF7">
        <w:rPr>
          <w:rFonts w:asciiTheme="majorBidi" w:hAnsiTheme="majorBidi" w:cstheme="majorBidi"/>
          <w:sz w:val="28"/>
          <w:vertAlign w:val="superscript"/>
          <w:rtl/>
        </w:rPr>
        <w:t>)</w:t>
      </w:r>
      <w:r w:rsidRPr="00DE5FF7">
        <w:rPr>
          <w:rFonts w:asciiTheme="majorBidi" w:hAnsiTheme="majorBidi" w:cstheme="majorBidi"/>
          <w:sz w:val="28"/>
          <w:rtl/>
        </w:rPr>
        <w:t>.</w:t>
      </w:r>
    </w:p>
    <w:p w14:paraId="4BF3C3F8"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lastRenderedPageBreak/>
        <w:t xml:space="preserve">   وتطبيقاً لما تقدم يخرج عن ولاية القضاء القضايا هما : بعض القضايا ذات العنصر الأجنبي ، وأعمال البرلمان أو ما يحال للتحكيم . وهناك من القضايا تخرج عن ولاية جهة المحاكم لولاية القضاء الإداري . إن بعض الدول تعرف إلى جانب جهة المحاكم التي لها ولاية القضاء المدني والجنائي ، جهة أخرى تعرف بجهة القضاء الإداري ، لها ولاية القضاء الإداري . وقد ظهرت فكرة استقلال جهة القضاء الإداري عن جهة القضاء العادية في فرنسا ، منذ الثورة الفرنسية ، كتطبيق لمبدأ الفصل بين السلطات ، الذي نادت به هذه الثورة . فقد فُهم هذا المبدأ على أنه ما دامت السلطة الإدارية مستقلة عن السلطة القضائية ، فيجب ، ألّا تتدخل هذه الأخيرة في منازعاتها . ومن الواضح فساد هذا الفهم ، إذ مبدأ الفصل بين السلطات كان يوجب ترك القضاء أياً كان للسلطة القضائية ، كما أن من المقرر الآن من ناحية أخرى أن جهة القضاء الإداري ليست فرعاً من الإدارة ، بل هي جهة قضائية ، تكون جزءاً من السلطة القضائية </w:t>
      </w:r>
      <w:r w:rsidRPr="00DE5FF7">
        <w:rPr>
          <w:rFonts w:asciiTheme="majorBidi" w:hAnsiTheme="majorBidi" w:cstheme="majorBidi"/>
          <w:sz w:val="28"/>
          <w:vertAlign w:val="superscript"/>
          <w:rtl/>
        </w:rPr>
        <w:t>(</w:t>
      </w:r>
      <w:r w:rsidRPr="00DE5FF7">
        <w:rPr>
          <w:rFonts w:asciiTheme="majorBidi" w:hAnsiTheme="majorBidi" w:cstheme="majorBidi"/>
          <w:sz w:val="28"/>
          <w:vertAlign w:val="superscript"/>
          <w:rtl/>
        </w:rPr>
        <w:footnoteReference w:id="3"/>
      </w:r>
      <w:r w:rsidRPr="00DE5FF7">
        <w:rPr>
          <w:rFonts w:asciiTheme="majorBidi" w:hAnsiTheme="majorBidi" w:cstheme="majorBidi"/>
          <w:sz w:val="28"/>
          <w:vertAlign w:val="superscript"/>
          <w:rtl/>
        </w:rPr>
        <w:t>)</w:t>
      </w:r>
      <w:r w:rsidRPr="00DE5FF7">
        <w:rPr>
          <w:rFonts w:asciiTheme="majorBidi" w:hAnsiTheme="majorBidi" w:cstheme="majorBidi"/>
          <w:sz w:val="28"/>
          <w:rtl/>
        </w:rPr>
        <w:t xml:space="preserve"> .</w:t>
      </w:r>
    </w:p>
    <w:p w14:paraId="61B1E9FE"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 xml:space="preserve"> ووفقاً لما تقدم يخرج عن موضوع بحثنا بعض القضايا ذات العنصر الأجنبي التي تخرج بصورة مطلقة عن ولاية القضاء ، كما يخرج عن بحثنا المنازعات التي تختص بها جهة القضاء الإداري . </w:t>
      </w:r>
    </w:p>
    <w:p w14:paraId="016A9A81"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يعرف الاختصاص النوعي على أنه " تحديد ولاية المحكمة في النظر في نوع معين من الدعاوي وهذا النوع من الاختصاص يعتبر من النظام العام. وهذا يعني أن المحاكم ملزمة بقواعد الاختصاص وليس لها الخروج عليها. كما لا يمكن للأطراف الاتفاق على خلافها، ويقع باطلاً كل اتفاق من هذا القبيل"</w:t>
      </w:r>
      <w:r w:rsidRPr="00DE5FF7">
        <w:rPr>
          <w:rFonts w:asciiTheme="majorBidi" w:hAnsiTheme="majorBidi" w:cstheme="majorBidi"/>
          <w:rtl/>
        </w:rPr>
        <w:footnoteReference w:id="4"/>
      </w:r>
      <w:r w:rsidRPr="00DE5FF7">
        <w:rPr>
          <w:rFonts w:asciiTheme="majorBidi" w:hAnsiTheme="majorBidi" w:cstheme="majorBidi"/>
          <w:sz w:val="28"/>
          <w:rtl/>
        </w:rPr>
        <w:t>.</w:t>
      </w:r>
    </w:p>
    <w:p w14:paraId="71B6098C"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ويعرف الدفع بعدم الاختصاص النوعي على أنه " أجراء شكلي يمنع المحاكم من نظر الدعاوي التي لا تدخل اختصاصاتها، ولهذا يرى بانه " طلب الخصم- أو من له مصلحة في ذلك- منع المحكمة من نظر الدعوى محل الدفع، لعدم اختصاصها نوعيا بنظرها، أو قضاء المحكمة من تلقاء نفسها بعد الاختصاص المقرر قانوناً</w:t>
      </w:r>
      <w:r w:rsidRPr="00DE5FF7">
        <w:rPr>
          <w:rStyle w:val="FootnoteReference"/>
          <w:rFonts w:asciiTheme="majorBidi" w:hAnsiTheme="majorBidi" w:cstheme="majorBidi"/>
          <w:sz w:val="28"/>
          <w:rtl/>
        </w:rPr>
        <w:footnoteReference w:id="5"/>
      </w:r>
      <w:r w:rsidRPr="00DE5FF7">
        <w:rPr>
          <w:rFonts w:asciiTheme="majorBidi" w:hAnsiTheme="majorBidi" w:cstheme="majorBidi"/>
          <w:sz w:val="28"/>
          <w:rtl/>
        </w:rPr>
        <w:t>.</w:t>
      </w:r>
    </w:p>
    <w:p w14:paraId="6F993306"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مما يتضح من هذا التعريف أن الدفع بعدم الاختصاص النوعي من الدفوع المتعلقة بالنظام العام التي يمكن التسمك بها في أي مرحلة كانت الدعوى ويجوز طلب ابطال الدعوى بسببه ، وكل ما يتفق من اتفاق بين الخصوم على خلاف ذلك لا يعتد فهو باطل.</w:t>
      </w:r>
    </w:p>
    <w:p w14:paraId="2CC28FF3" w14:textId="4998683B" w:rsidR="00867FC8" w:rsidRPr="00DE5FF7" w:rsidRDefault="003F5C52" w:rsidP="00C81585">
      <w:pPr>
        <w:tabs>
          <w:tab w:val="left" w:pos="1652"/>
        </w:tabs>
        <w:jc w:val="both"/>
        <w:rPr>
          <w:rFonts w:asciiTheme="majorBidi" w:hAnsiTheme="majorBidi" w:cstheme="majorBidi"/>
          <w:sz w:val="28"/>
          <w:rtl/>
        </w:rPr>
      </w:pPr>
      <w:r w:rsidRPr="00DE5FF7">
        <w:rPr>
          <w:rFonts w:asciiTheme="majorBidi" w:hAnsiTheme="majorBidi" w:cstheme="majorBidi"/>
          <w:sz w:val="28"/>
          <w:rtl/>
        </w:rPr>
        <w:lastRenderedPageBreak/>
        <w:t>وبالرجوع الى قانون المرافعات المدنية العراقي رقم (83) لسنة 1969 المعدل نجد انه نظام أحكام الاختصاص النوعي في المواد (77، 79)</w:t>
      </w:r>
      <w:r w:rsidRPr="00DE5FF7">
        <w:rPr>
          <w:rStyle w:val="FootnoteReference"/>
          <w:rFonts w:asciiTheme="majorBidi" w:hAnsiTheme="majorBidi" w:cstheme="majorBidi"/>
          <w:sz w:val="28"/>
          <w:rtl/>
        </w:rPr>
        <w:footnoteReference w:id="6"/>
      </w:r>
      <w:r w:rsidRPr="00DE5FF7">
        <w:rPr>
          <w:rFonts w:asciiTheme="majorBidi" w:hAnsiTheme="majorBidi" w:cstheme="majorBidi"/>
          <w:sz w:val="28"/>
          <w:rtl/>
        </w:rPr>
        <w:t xml:space="preserve"> ، إلا انه عزف عن تعريف الاختصاص النوعي والدفع بعدم الاختصاص النوعي وتاركاً ذلك للفقه . </w:t>
      </w:r>
    </w:p>
    <w:p w14:paraId="2555407F" w14:textId="77777777" w:rsidR="003F5C52" w:rsidRPr="00867FC8" w:rsidRDefault="003F5C52" w:rsidP="00867FC8">
      <w:pPr>
        <w:tabs>
          <w:tab w:val="left" w:pos="1652"/>
        </w:tabs>
        <w:spacing w:line="240" w:lineRule="auto"/>
        <w:jc w:val="center"/>
        <w:rPr>
          <w:rFonts w:asciiTheme="majorBidi" w:hAnsiTheme="majorBidi" w:cstheme="majorBidi"/>
          <w:b/>
          <w:bCs/>
          <w:sz w:val="28"/>
          <w:rtl/>
        </w:rPr>
      </w:pPr>
      <w:r w:rsidRPr="00867FC8">
        <w:rPr>
          <w:rFonts w:asciiTheme="majorBidi" w:hAnsiTheme="majorBidi" w:cstheme="majorBidi"/>
          <w:b/>
          <w:bCs/>
          <w:sz w:val="28"/>
          <w:rtl/>
        </w:rPr>
        <w:t>الفرع الثاني</w:t>
      </w:r>
    </w:p>
    <w:p w14:paraId="529808CD" w14:textId="77777777" w:rsidR="003F5C52" w:rsidRPr="00867FC8" w:rsidRDefault="003F5C52" w:rsidP="00867FC8">
      <w:pPr>
        <w:tabs>
          <w:tab w:val="left" w:pos="1652"/>
        </w:tabs>
        <w:spacing w:line="240" w:lineRule="auto"/>
        <w:jc w:val="center"/>
        <w:rPr>
          <w:rFonts w:asciiTheme="majorBidi" w:eastAsia="Times New Roman" w:hAnsiTheme="majorBidi" w:cstheme="majorBidi"/>
          <w:b/>
          <w:bCs/>
          <w:sz w:val="28"/>
          <w:rtl/>
        </w:rPr>
      </w:pPr>
      <w:r w:rsidRPr="00867FC8">
        <w:rPr>
          <w:rFonts w:asciiTheme="majorBidi" w:eastAsia="Times New Roman" w:hAnsiTheme="majorBidi" w:cstheme="majorBidi"/>
          <w:b/>
          <w:bCs/>
          <w:sz w:val="28"/>
          <w:rtl/>
        </w:rPr>
        <w:t>تمييز الدفع بعدم الاختصاص النوعي عما يشتبه به من نظم قانونية أخرى</w:t>
      </w:r>
    </w:p>
    <w:p w14:paraId="2D9670F2" w14:textId="77777777" w:rsidR="003F5C52" w:rsidRPr="00DE5FF7" w:rsidRDefault="003F5C52" w:rsidP="00DE5FF7">
      <w:pPr>
        <w:tabs>
          <w:tab w:val="left" w:pos="1652"/>
        </w:tabs>
        <w:rPr>
          <w:rFonts w:asciiTheme="majorBidi" w:hAnsiTheme="majorBidi" w:cstheme="majorBidi"/>
          <w:sz w:val="28"/>
          <w:rtl/>
        </w:rPr>
      </w:pPr>
      <w:r w:rsidRPr="00DE5FF7">
        <w:rPr>
          <w:rFonts w:asciiTheme="majorBidi" w:hAnsiTheme="majorBidi" w:cstheme="majorBidi"/>
          <w:b/>
          <w:bCs/>
          <w:sz w:val="32"/>
          <w:szCs w:val="32"/>
          <w:rtl/>
        </w:rPr>
        <w:t xml:space="preserve"> </w:t>
      </w:r>
      <w:r w:rsidRPr="00DE5FF7">
        <w:rPr>
          <w:rFonts w:asciiTheme="majorBidi" w:hAnsiTheme="majorBidi" w:cstheme="majorBidi"/>
          <w:sz w:val="28"/>
          <w:rtl/>
        </w:rPr>
        <w:t xml:space="preserve">   تمييز الدفع بعدم الاختصاص النوعي يقتضي منا التفريق بينه وبين الدفع بعدم الاختصاص المكاني والدفع بعدم قبول الدعوى وفق ما يلي :-</w:t>
      </w:r>
    </w:p>
    <w:p w14:paraId="7F77D0E6" w14:textId="77777777" w:rsidR="003F5C52" w:rsidRPr="00DE5FF7" w:rsidRDefault="003F5C52" w:rsidP="00DE5FF7">
      <w:pPr>
        <w:tabs>
          <w:tab w:val="left" w:pos="1652"/>
        </w:tabs>
        <w:rPr>
          <w:rFonts w:asciiTheme="majorBidi" w:hAnsiTheme="majorBidi" w:cstheme="majorBidi"/>
          <w:b/>
          <w:bCs/>
          <w:sz w:val="28"/>
          <w:rtl/>
        </w:rPr>
      </w:pPr>
      <w:r w:rsidRPr="00DE5FF7">
        <w:rPr>
          <w:rFonts w:asciiTheme="majorBidi" w:hAnsiTheme="majorBidi" w:cstheme="majorBidi"/>
          <w:b/>
          <w:bCs/>
          <w:sz w:val="28"/>
          <w:rtl/>
        </w:rPr>
        <w:t>أولا : التمييز بين الدفع بعدم الاختصاص المكاني والدفع بعدم الاختصاص النوعي :</w:t>
      </w:r>
    </w:p>
    <w:p w14:paraId="3295F15B"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t xml:space="preserve">   يقصد بالاختصاص المكاني أو المحلي ، هو تحديد أي محكمة من محاكم الدرجة الأولى التي من نفس المكان - والتي تتوزع في الدولة إقليماً - يجب الالتجاء إليها . ويضع المشرع قاعدة عامة تحدد المحكمة المختصة محلياً على أساسها ، ثم يضع قواعد خاصة بالنسبة لدعاوى معينة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فقواعد الاختصاص المكاني هي تلك القواعد التي تحدد اختصاص كل محكمة من محاكم الطبقة الواحدة على أساس جغرافي ، أو مكاني ، أو نصيب كل محكمة من المحاكم من المنازعات محدداً على أساس إقليمي ، ويسمى ذلك بدائرة اختصاص المحكمة .وحيث لا يجوز للمحكمة أن تثير الدفع بعدم الاختصاص المكاني من تلقاء نفسها ويجب أن يثيره الخصم قبل الدخول في أساس الدعوى وهي ليس من النظام العام وقد راعى المشرع وهو بصدد وضع قواعد الاختصاص المحلي اعتبارين : الأول ، هو مراعاة الطرف الأولى بالرعاية من بين أطراف الدعوى ، وذلك بجعل الاختصاص للمحكمة القريبة منه في حالات معينة . والثاني ، هو حسن سير القضاء ، وذلك بجعل الاختصاص للمحكمة الأقرب إلى محل النزاع في حالات أخرى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3D58F5D1"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t xml:space="preserve">   أما الاختصاص النوعي فيرمي إلى تحديد اختصاص المحكمة بدعاوى معينة بالنظر إلى طبيعة الرابطة القانونية محل الحماية بصرف النظر عن قيمتها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9"/>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وهو الاختصاص التعلق بنوع الدعوى . ويقصد به سلطة المحاكم بالفصل في المنازعات بحسب نوعها ، وهذا الاختصاص يستند إلى أن المحاكم في الأنظمة القضائية المختلفة تكون متعددة ، فمثلاً في العراق تختص محكمة الأحوال الشخصية بنظر الدعاوى المتعلقة </w:t>
      </w:r>
      <w:r w:rsidRPr="00DE5FF7">
        <w:rPr>
          <w:rFonts w:asciiTheme="majorBidi" w:hAnsiTheme="majorBidi" w:cstheme="majorBidi"/>
          <w:sz w:val="28"/>
          <w:rtl/>
        </w:rPr>
        <w:lastRenderedPageBreak/>
        <w:t xml:space="preserve">بالأحوال الشخصية ، ومحكمة العمل تختص بالفصل في الدعاوى المنصوص عليها في قانون العمل ، وتختص محكمة البداءة بنظر الدعاوى البدائية التي نص عليها القانون ، أما محكمة التمييز ، فهي على رأس هذه المحاكم وتمارس الرقابة على جميع هذه المحاكم ، وهكذا ، فإن لكل محكمة سلطة أو ولاية محددة للفصل في نوع أو أكثر من الدعاوى ، ولا يستطيع تخطي هذه الولاية ، فالاختصاص النوعي للمحاكم يشمل المنازعات التي تختص بها كل محكمة من هذه المحاكم بحسب نوع الدعاوى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1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18DB30E3" w14:textId="77777777" w:rsidR="003F5C52" w:rsidRPr="00DE5FF7" w:rsidRDefault="003F5C52" w:rsidP="00DE5FF7">
      <w:pPr>
        <w:tabs>
          <w:tab w:val="left" w:pos="1652"/>
        </w:tabs>
        <w:rPr>
          <w:rFonts w:asciiTheme="majorBidi" w:hAnsiTheme="majorBidi" w:cstheme="majorBidi"/>
          <w:b/>
          <w:bCs/>
          <w:sz w:val="28"/>
          <w:rtl/>
        </w:rPr>
      </w:pPr>
      <w:r w:rsidRPr="00DE5FF7">
        <w:rPr>
          <w:rFonts w:asciiTheme="majorBidi" w:hAnsiTheme="majorBidi" w:cstheme="majorBidi"/>
          <w:b/>
          <w:bCs/>
          <w:sz w:val="28"/>
          <w:rtl/>
        </w:rPr>
        <w:t>ثانياً : التمييز بين الدفع بعدم الاختصاص النوعي والدفع بعدم قبول الدعوى:</w:t>
      </w:r>
    </w:p>
    <w:p w14:paraId="2BEF45C3" w14:textId="77777777" w:rsidR="003F5C52" w:rsidRPr="00DE5FF7" w:rsidRDefault="003F5C52" w:rsidP="00DE5FF7">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كل من الدفع بعدم الاختصاص النوعي والدفع بعدم قبول الدعوى يعد وسيلة منحها القانون للخصم التمسك بها من قبله أو من يمثله بهدف منع المحكمة من نظر في الدعوى وعدم إصدار الحكم والفصل فيها ، وكلاهما من الدفوع المتعلقة بالنظام العام التي يمكن إثارتها في أي مرحلة من مراحل الدعوى سواء من قبل المحكمة نفسها أو من قبل الخصوم، أو كل ذي مصلحة</w:t>
      </w:r>
      <w:r w:rsidRPr="00DE5FF7">
        <w:rPr>
          <w:rStyle w:val="FootnoteReference"/>
          <w:rFonts w:asciiTheme="majorBidi" w:hAnsiTheme="majorBidi" w:cstheme="majorBidi"/>
          <w:sz w:val="28"/>
          <w:rtl/>
        </w:rPr>
        <w:footnoteReference w:id="11"/>
      </w:r>
      <w:r w:rsidRPr="00DE5FF7">
        <w:rPr>
          <w:rFonts w:asciiTheme="majorBidi" w:hAnsiTheme="majorBidi" w:cstheme="majorBidi"/>
          <w:sz w:val="28"/>
          <w:rtl/>
        </w:rPr>
        <w:t>.</w:t>
      </w:r>
    </w:p>
    <w:p w14:paraId="1B03E584" w14:textId="76E37260" w:rsidR="00C81585" w:rsidRPr="00C81585" w:rsidRDefault="003F5C52" w:rsidP="00C81585">
      <w:pPr>
        <w:tabs>
          <w:tab w:val="left" w:pos="1652"/>
        </w:tabs>
        <w:ind w:firstLine="720"/>
        <w:jc w:val="both"/>
        <w:rPr>
          <w:rFonts w:asciiTheme="majorBidi" w:hAnsiTheme="majorBidi" w:cstheme="majorBidi"/>
          <w:sz w:val="28"/>
          <w:rtl/>
        </w:rPr>
      </w:pPr>
      <w:r w:rsidRPr="00DE5FF7">
        <w:rPr>
          <w:rFonts w:asciiTheme="majorBidi" w:hAnsiTheme="majorBidi" w:cstheme="majorBidi"/>
          <w:sz w:val="28"/>
          <w:rtl/>
        </w:rPr>
        <w:t>يختلف كلاهما عن الآخر بان الدفع بعدم الاختصاص النوعي يتعلق بقواعد الاختصاص كون الدعوى أصلاً ليس من اختصاصها مما يتوجب على المحكمة الامتناع عن نظر الدعوى المقامة أمامها بسبب انتفاء سلطتها، بينما الدفع بعدم قبول الدعوى ، فالدعوى المقامة  هي من اختصاص المحكمة في الأصل لكن انعدام أحد شروط إقامتها وهي انعدام المصلحة  أو سبق وان صدر حكم في موضوع الدعوى لذات السبب والخصوم نفسهم، أو تكون الدعوى المقامة من غير صفة</w:t>
      </w:r>
      <w:r w:rsidRPr="00DE5FF7">
        <w:rPr>
          <w:rStyle w:val="FootnoteReference"/>
          <w:rFonts w:asciiTheme="majorBidi" w:hAnsiTheme="majorBidi" w:cstheme="majorBidi"/>
          <w:sz w:val="28"/>
          <w:rtl/>
        </w:rPr>
        <w:footnoteReference w:id="12"/>
      </w:r>
      <w:r w:rsidRPr="00DE5FF7">
        <w:rPr>
          <w:rFonts w:asciiTheme="majorBidi" w:hAnsiTheme="majorBidi" w:cstheme="majorBidi"/>
          <w:sz w:val="28"/>
          <w:rtl/>
        </w:rPr>
        <w:t>.</w:t>
      </w:r>
    </w:p>
    <w:p w14:paraId="6154FC02" w14:textId="77777777" w:rsidR="003F5C52" w:rsidRPr="00DE5FF7" w:rsidRDefault="003F5C52" w:rsidP="00867FC8">
      <w:pPr>
        <w:tabs>
          <w:tab w:val="left" w:pos="1652"/>
        </w:tabs>
        <w:spacing w:line="240" w:lineRule="auto"/>
        <w:jc w:val="center"/>
        <w:rPr>
          <w:rFonts w:asciiTheme="majorBidi" w:hAnsiTheme="majorBidi" w:cstheme="majorBidi"/>
          <w:b/>
          <w:bCs/>
          <w:sz w:val="32"/>
          <w:szCs w:val="32"/>
          <w:rtl/>
        </w:rPr>
      </w:pPr>
      <w:r w:rsidRPr="00DE5FF7">
        <w:rPr>
          <w:rFonts w:asciiTheme="majorBidi" w:hAnsiTheme="majorBidi" w:cstheme="majorBidi"/>
          <w:b/>
          <w:bCs/>
          <w:sz w:val="32"/>
          <w:szCs w:val="32"/>
          <w:rtl/>
        </w:rPr>
        <w:t>المطلب الثاني</w:t>
      </w:r>
    </w:p>
    <w:p w14:paraId="1454B651" w14:textId="77777777" w:rsidR="003F5C52" w:rsidRPr="00DE5FF7" w:rsidRDefault="003F5C52" w:rsidP="00867FC8">
      <w:pPr>
        <w:tabs>
          <w:tab w:val="left" w:pos="1652"/>
        </w:tabs>
        <w:spacing w:line="240" w:lineRule="auto"/>
        <w:jc w:val="center"/>
        <w:rPr>
          <w:rFonts w:asciiTheme="majorBidi" w:hAnsiTheme="majorBidi" w:cstheme="majorBidi"/>
          <w:b/>
          <w:bCs/>
          <w:sz w:val="32"/>
          <w:szCs w:val="32"/>
          <w:rtl/>
        </w:rPr>
      </w:pPr>
      <w:r w:rsidRPr="00DE5FF7">
        <w:rPr>
          <w:rFonts w:asciiTheme="majorBidi" w:eastAsia="Times New Roman" w:hAnsiTheme="majorBidi" w:cstheme="majorBidi"/>
          <w:b/>
          <w:bCs/>
          <w:sz w:val="32"/>
          <w:szCs w:val="32"/>
          <w:rtl/>
        </w:rPr>
        <w:t>الاختصاص النوعي للمحاكم المدنية</w:t>
      </w:r>
      <w:r w:rsidRPr="00DE5FF7">
        <w:rPr>
          <w:rFonts w:asciiTheme="majorBidi" w:hAnsiTheme="majorBidi" w:cstheme="majorBidi"/>
          <w:b/>
          <w:bCs/>
          <w:sz w:val="32"/>
          <w:szCs w:val="32"/>
          <w:rtl/>
        </w:rPr>
        <w:t xml:space="preserve"> </w:t>
      </w:r>
    </w:p>
    <w:p w14:paraId="10E2EFE2" w14:textId="77777777" w:rsidR="003F5C52" w:rsidRPr="00DE5FF7" w:rsidRDefault="003F5C52" w:rsidP="00DE5FF7">
      <w:pPr>
        <w:tabs>
          <w:tab w:val="left" w:pos="1652"/>
        </w:tabs>
        <w:rPr>
          <w:rFonts w:asciiTheme="majorBidi" w:hAnsiTheme="majorBidi" w:cstheme="majorBidi"/>
          <w:sz w:val="28"/>
          <w:rtl/>
        </w:rPr>
      </w:pPr>
      <w:r w:rsidRPr="00DE5FF7">
        <w:rPr>
          <w:rFonts w:asciiTheme="majorBidi" w:hAnsiTheme="majorBidi" w:cstheme="majorBidi"/>
          <w:sz w:val="28"/>
          <w:rtl/>
        </w:rPr>
        <w:t xml:space="preserve">   نقسم هذا المطلب على فرعين ، نتناول في الفرع الأول ، الاختصاص النوعي لمحاكم الدرجة الأولى ، وفي الفرع الثاني ، نتعرض إلى الاختصاص النوعي لمحاكم الدرجة الثانية .</w:t>
      </w:r>
    </w:p>
    <w:p w14:paraId="6D197C41" w14:textId="77777777" w:rsidR="003F5C52" w:rsidRPr="00867FC8" w:rsidRDefault="003F5C52" w:rsidP="00867FC8">
      <w:pPr>
        <w:tabs>
          <w:tab w:val="left" w:pos="1652"/>
        </w:tabs>
        <w:spacing w:line="240" w:lineRule="auto"/>
        <w:jc w:val="center"/>
        <w:rPr>
          <w:rFonts w:asciiTheme="majorBidi" w:hAnsiTheme="majorBidi" w:cstheme="majorBidi"/>
          <w:b/>
          <w:bCs/>
          <w:sz w:val="28"/>
          <w:rtl/>
        </w:rPr>
      </w:pPr>
      <w:r w:rsidRPr="00867FC8">
        <w:rPr>
          <w:rFonts w:asciiTheme="majorBidi" w:hAnsiTheme="majorBidi" w:cstheme="majorBidi"/>
          <w:b/>
          <w:bCs/>
          <w:sz w:val="28"/>
          <w:rtl/>
        </w:rPr>
        <w:t>الفرع الاول</w:t>
      </w:r>
    </w:p>
    <w:p w14:paraId="05C0AA93" w14:textId="77777777" w:rsidR="003F5C52" w:rsidRPr="00867FC8" w:rsidRDefault="003F5C52" w:rsidP="00867FC8">
      <w:pPr>
        <w:tabs>
          <w:tab w:val="left" w:pos="1652"/>
        </w:tabs>
        <w:spacing w:line="240" w:lineRule="auto"/>
        <w:jc w:val="center"/>
        <w:rPr>
          <w:rFonts w:asciiTheme="majorBidi" w:hAnsiTheme="majorBidi" w:cstheme="majorBidi"/>
          <w:b/>
          <w:bCs/>
          <w:sz w:val="28"/>
          <w:rtl/>
        </w:rPr>
      </w:pPr>
      <w:r w:rsidRPr="00867FC8">
        <w:rPr>
          <w:rFonts w:asciiTheme="majorBidi" w:hAnsiTheme="majorBidi" w:cstheme="majorBidi"/>
          <w:b/>
          <w:bCs/>
          <w:sz w:val="28"/>
          <w:rtl/>
        </w:rPr>
        <w:t>الاختصاص النوعي لمحاكم الدرجة الأولى</w:t>
      </w:r>
    </w:p>
    <w:p w14:paraId="4B5C7EAD"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t xml:space="preserve">   يعرف الاختصاص النوعي بأنه ، توزيع العمل بين طبقات المحاكم داخل الجهة القضائية الواحدة على أساس نوع الدعوى ، كأن تكون مدنيّة ، أو تجاريّة ، أو أحوال شخصيّة ، وغيرها ، بغض النظر عن قيمة </w:t>
      </w:r>
      <w:r w:rsidRPr="00DE5FF7">
        <w:rPr>
          <w:rFonts w:asciiTheme="majorBidi" w:hAnsiTheme="majorBidi" w:cstheme="majorBidi"/>
          <w:sz w:val="28"/>
          <w:rtl/>
        </w:rPr>
        <w:lastRenderedPageBreak/>
        <w:t xml:space="preserve">الدعوى ذاتها . أي بمعنى أن تختص كل طبقة من طبقات المحاكم بنظر نوع معين من القضايا دون غيرها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13"/>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ومحاكم الدرجة الاولى في العراق هي: محكمة الأحوال الشخصية ، ومحكمة المواد الشخصية ، ومحكمة العمل ، ومحكمة </w:t>
      </w:r>
      <w:proofErr w:type="spellStart"/>
      <w:r w:rsidRPr="00DE5FF7">
        <w:rPr>
          <w:rFonts w:asciiTheme="majorBidi" w:hAnsiTheme="majorBidi" w:cstheme="majorBidi"/>
          <w:sz w:val="28"/>
          <w:rtl/>
        </w:rPr>
        <w:t>الكمارك</w:t>
      </w:r>
      <w:proofErr w:type="spellEnd"/>
      <w:r w:rsidRPr="00DE5FF7">
        <w:rPr>
          <w:rFonts w:asciiTheme="majorBidi" w:hAnsiTheme="majorBidi" w:cstheme="majorBidi"/>
          <w:sz w:val="28"/>
          <w:rtl/>
        </w:rPr>
        <w:t xml:space="preserve"> ، ومحكمة الخدمات المالية ، ومحاكم البداءة المتخصصة ، وهي : محكمة الاستثمار ، والمحكمة التجارية ، ومحكمة البداءة المختصة في دعاوى المقاولات ، ومحكمة حماية المستهلك ، ومحكمة الإفلاس . ومحكمة البداءة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14"/>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ونتناول الاختصاص النوعي لهذه المحاكم بشيء من التفصيل.</w:t>
      </w:r>
    </w:p>
    <w:p w14:paraId="3674924F"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b/>
          <w:bCs/>
          <w:sz w:val="28"/>
          <w:rtl/>
        </w:rPr>
        <w:t>أولاً :محكمة الأحوال الشخصية :</w:t>
      </w:r>
      <w:r w:rsidRPr="00DE5FF7">
        <w:rPr>
          <w:rFonts w:asciiTheme="majorBidi" w:hAnsiTheme="majorBidi" w:cstheme="majorBidi"/>
          <w:sz w:val="28"/>
          <w:rtl/>
        </w:rPr>
        <w:t xml:space="preserve"> ينص قانون التنظيم القضائي رقم (160) لسنة 1979 على أنه ((تشكل محكمة أحوال شخصية ، أو أكثر في كل مكان فيه محكمة بداءة))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15"/>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r w:rsidRPr="00DE5FF7">
        <w:rPr>
          <w:rFonts w:asciiTheme="majorBidi" w:hAnsiTheme="majorBidi" w:cstheme="majorBidi"/>
          <w:b/>
          <w:bCs/>
          <w:sz w:val="28"/>
          <w:rtl/>
        </w:rPr>
        <w:t xml:space="preserve"> </w:t>
      </w:r>
      <w:r w:rsidRPr="00DE5FF7">
        <w:rPr>
          <w:rFonts w:asciiTheme="majorBidi" w:hAnsiTheme="majorBidi" w:cstheme="majorBidi"/>
          <w:sz w:val="28"/>
          <w:rtl/>
        </w:rPr>
        <w:t xml:space="preserve">وينص القانون أيضاً ، على أن ((تنعقد محكمة الأحوال الشخصية من قاض واحد ، وتختص بالنظر في مسائل الأحوال الشخصية وفقاً لأحكام القانون))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16"/>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((ويعتبر قاضي محكمة البداءة المسلم قاضياً لمحكمة الأحوال الشخصية ، إن لم يكن لها قاض خاص))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1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وينص قانون المرافعات المدنية ، على أن تختص محكمة الأحوال الشخصية بالنظر في الأمور التالية :-</w:t>
      </w:r>
    </w:p>
    <w:p w14:paraId="311DA3E9"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الزواج ، وما يتعلق به من مهر ونفقة ونسب وحضانة وفرقة وطلاق وسائر أمور الزوجية.</w:t>
      </w:r>
    </w:p>
    <w:p w14:paraId="5925F8DC"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الدعاوى المتعلقة بأثاث بيت الزوجية.</w:t>
      </w:r>
    </w:p>
    <w:p w14:paraId="20C8FA3F"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الولاية والوصايا </w:t>
      </w:r>
      <w:proofErr w:type="spellStart"/>
      <w:r w:rsidRPr="00DE5FF7">
        <w:rPr>
          <w:rFonts w:asciiTheme="majorBidi" w:hAnsiTheme="majorBidi" w:cstheme="majorBidi"/>
          <w:sz w:val="28"/>
          <w:rtl/>
        </w:rPr>
        <w:t>والقيمومة</w:t>
      </w:r>
      <w:proofErr w:type="spellEnd"/>
      <w:r w:rsidRPr="00DE5FF7">
        <w:rPr>
          <w:rFonts w:asciiTheme="majorBidi" w:hAnsiTheme="majorBidi" w:cstheme="majorBidi"/>
          <w:sz w:val="28"/>
          <w:rtl/>
        </w:rPr>
        <w:t xml:space="preserve"> والوصية ونصب القيم ، أو الوصي وعزله ومحاسبته والاذن له بالتصرفات الشرعية والقانونية.</w:t>
      </w:r>
    </w:p>
    <w:p w14:paraId="5935130F"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التولية على الوقف الذري ونصب المتولي وعزله ومحاسبته وترشيح المتولي في الوقف الخيري أو المشترك.</w:t>
      </w:r>
    </w:p>
    <w:p w14:paraId="64290DEC"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الحجر ورفعه وإثبات الرشد.</w:t>
      </w:r>
    </w:p>
    <w:p w14:paraId="16081105"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إثبات الوفاة وتحرير التركات وتعيين الحصص </w:t>
      </w:r>
      <w:proofErr w:type="spellStart"/>
      <w:r w:rsidRPr="00DE5FF7">
        <w:rPr>
          <w:rFonts w:asciiTheme="majorBidi" w:hAnsiTheme="majorBidi" w:cstheme="majorBidi"/>
          <w:sz w:val="28"/>
          <w:rtl/>
        </w:rPr>
        <w:t>الإرثية</w:t>
      </w:r>
      <w:proofErr w:type="spellEnd"/>
      <w:r w:rsidRPr="00DE5FF7">
        <w:rPr>
          <w:rFonts w:asciiTheme="majorBidi" w:hAnsiTheme="majorBidi" w:cstheme="majorBidi"/>
          <w:sz w:val="28"/>
          <w:rtl/>
        </w:rPr>
        <w:t xml:space="preserve"> في القسامات الشرعية وتوزيعها بين الورثة.</w:t>
      </w:r>
    </w:p>
    <w:p w14:paraId="4E81B113" w14:textId="77777777" w:rsidR="003F5C52" w:rsidRPr="00DE5FF7" w:rsidRDefault="003F5C52" w:rsidP="00DE5FF7">
      <w:pPr>
        <w:numPr>
          <w:ilvl w:val="0"/>
          <w:numId w:val="38"/>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المفقود وما يتعلق به))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1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607311F3"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lastRenderedPageBreak/>
        <w:t xml:space="preserve">   ((وتنظم محكمة الأحوال الشخصية حجج الوصايا والوقف والحجج الأخرى التي تختص بها وتسجلها وفق القانون وتصادق على الوكالات المتعلقة بالدعاوى التي تقام لديها))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19"/>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((وتختص محكمة الأحوال الشخصية بالحكم بصفة مستعجلة بنفقة مؤقتة ، أو بتعيين أمين على محضون متنازع حضانته يقوم برعايته والمحافظة عليه ، إذا قام لديها من الأسباب ما يخشى منه خطر عاجل على طالب النفقة ، أو على بقاء المحضون تحت يد حاضنه حتى يبت في أساس الدعوى ، كما تختص بغير ذلك من الأمور المستعجلة الداخلة في اختصاصها))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39846E45"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   وكذلك تختص محكمة الأحوال الشخصية بدعاوى اجور المحاماة المنظورة أمامها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1"/>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كما تختص بالنظر في الدعاوى والطلبات التي تنص عليها القوانين الأخرى ، وهي :-</w:t>
      </w:r>
    </w:p>
    <w:p w14:paraId="2887227D" w14:textId="77777777" w:rsidR="003F5C52" w:rsidRPr="00DE5FF7" w:rsidRDefault="003F5C52" w:rsidP="00DE5FF7">
      <w:pPr>
        <w:numPr>
          <w:ilvl w:val="0"/>
          <w:numId w:val="39"/>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تبديل الدين من غير الإسلام إلى الإسلام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2"/>
      </w:r>
      <w:r w:rsidRPr="00DE5FF7">
        <w:rPr>
          <w:rFonts w:asciiTheme="majorBidi" w:hAnsiTheme="majorBidi" w:cstheme="majorBidi"/>
          <w:sz w:val="24"/>
          <w:szCs w:val="24"/>
          <w:vertAlign w:val="superscript"/>
          <w:rtl/>
        </w:rPr>
        <w:t>)</w:t>
      </w:r>
    </w:p>
    <w:p w14:paraId="6342CB95" w14:textId="77777777" w:rsidR="003F5C52" w:rsidRPr="00DE5FF7" w:rsidRDefault="003F5C52" w:rsidP="00DE5FF7">
      <w:pPr>
        <w:numPr>
          <w:ilvl w:val="0"/>
          <w:numId w:val="39"/>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نصب قيم على السجين لأكثر من خمس سنوات ، والمحكوم بالإعدام ، والإذن للقيم بالتصرفات في أموال السجين </w:t>
      </w:r>
      <w:r w:rsidRPr="00DE5FF7">
        <w:rPr>
          <w:rFonts w:asciiTheme="majorBidi" w:hAnsiTheme="majorBidi" w:cstheme="majorBidi"/>
          <w:sz w:val="28"/>
          <w:vertAlign w:val="superscript"/>
          <w:rtl/>
        </w:rPr>
        <w:t>(</w:t>
      </w:r>
      <w:r w:rsidRPr="00DE5FF7">
        <w:rPr>
          <w:rFonts w:asciiTheme="majorBidi" w:hAnsiTheme="majorBidi" w:cstheme="majorBidi"/>
          <w:sz w:val="28"/>
          <w:vertAlign w:val="superscript"/>
          <w:rtl/>
        </w:rPr>
        <w:footnoteReference w:id="23"/>
      </w:r>
      <w:r w:rsidRPr="00DE5FF7">
        <w:rPr>
          <w:rFonts w:asciiTheme="majorBidi" w:hAnsiTheme="majorBidi" w:cstheme="majorBidi"/>
          <w:sz w:val="28"/>
          <w:vertAlign w:val="superscript"/>
          <w:rtl/>
        </w:rPr>
        <w:t>)</w:t>
      </w:r>
      <w:r w:rsidRPr="00DE5FF7">
        <w:rPr>
          <w:rFonts w:asciiTheme="majorBidi" w:hAnsiTheme="majorBidi" w:cstheme="majorBidi"/>
          <w:sz w:val="28"/>
          <w:rtl/>
        </w:rPr>
        <w:t xml:space="preserve"> . </w:t>
      </w:r>
    </w:p>
    <w:p w14:paraId="1488F97C" w14:textId="77777777" w:rsidR="003F5C52" w:rsidRPr="00DE5FF7" w:rsidRDefault="003F5C52" w:rsidP="00DE5FF7">
      <w:pPr>
        <w:numPr>
          <w:ilvl w:val="0"/>
          <w:numId w:val="39"/>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الاعتراض على قرار لجنة الأسرة المتضمن عدم منح راتب الرعاية الاجتماعية خلال شهرين من تاريخ التبليغ به لدى محكمة الأحوال الشخصية المختصة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4"/>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ويعد الاعتراض من القضايا المستعجلة . وللمحكمة تأييد قرار اللجنة المذكورة أو إبطاله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5"/>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w:t>
      </w:r>
    </w:p>
    <w:p w14:paraId="65D7C22B" w14:textId="77777777" w:rsidR="003F5C52" w:rsidRPr="00DE5FF7" w:rsidRDefault="003F5C52" w:rsidP="00DE5FF7">
      <w:pPr>
        <w:contextualSpacing/>
        <w:jc w:val="both"/>
        <w:rPr>
          <w:rFonts w:asciiTheme="majorBidi" w:hAnsiTheme="majorBidi" w:cstheme="majorBidi"/>
          <w:b/>
          <w:bCs/>
          <w:sz w:val="28"/>
          <w:rtl/>
        </w:rPr>
      </w:pPr>
      <w:r w:rsidRPr="00DE5FF7">
        <w:rPr>
          <w:rFonts w:asciiTheme="majorBidi" w:hAnsiTheme="majorBidi" w:cstheme="majorBidi"/>
          <w:b/>
          <w:bCs/>
          <w:sz w:val="28"/>
          <w:rtl/>
        </w:rPr>
        <w:t xml:space="preserve">ثانياً : محكمة المواد الشخصية : </w:t>
      </w:r>
      <w:r w:rsidRPr="00DE5FF7">
        <w:rPr>
          <w:rFonts w:asciiTheme="majorBidi" w:hAnsiTheme="majorBidi" w:cstheme="majorBidi"/>
          <w:sz w:val="28"/>
          <w:rtl/>
        </w:rPr>
        <w:t xml:space="preserve">تتولى محكمة البداءة بصفتها محكمة مواد شخصية النظر في قضايا الأحوال الشخصية للعراقيين غير المسلمين وللأجانب غير المسلمين </w:t>
      </w:r>
      <w:proofErr w:type="spellStart"/>
      <w:r w:rsidRPr="00DE5FF7">
        <w:rPr>
          <w:rFonts w:asciiTheme="majorBidi" w:hAnsiTheme="majorBidi" w:cstheme="majorBidi"/>
          <w:sz w:val="28"/>
          <w:rtl/>
        </w:rPr>
        <w:t>والاجانب</w:t>
      </w:r>
      <w:proofErr w:type="spellEnd"/>
      <w:r w:rsidRPr="00DE5FF7">
        <w:rPr>
          <w:rFonts w:asciiTheme="majorBidi" w:hAnsiTheme="majorBidi" w:cstheme="majorBidi"/>
          <w:sz w:val="28"/>
          <w:rtl/>
        </w:rPr>
        <w:t xml:space="preserve"> المسلمين الذي يطبق على أحوالهم الشخصية قانون مدني ، وليس أحكام الشريعة الاسلامية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6"/>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وهذه المحكمة لم يرد اسمها ضمن </w:t>
      </w:r>
      <w:r w:rsidRPr="00DE5FF7">
        <w:rPr>
          <w:rFonts w:asciiTheme="majorBidi" w:hAnsiTheme="majorBidi" w:cstheme="majorBidi"/>
          <w:sz w:val="28"/>
          <w:rtl/>
        </w:rPr>
        <w:lastRenderedPageBreak/>
        <w:t xml:space="preserve">محاكم الدرجة الأولى في قانون التنظيم القضائي ، ويطلق عليها عرفاً اسم محكمة المواد الشخصية ، ويرجع الأصل التاريخي لإنشاء هذه المحكمة إلى المادة (11) من بيان المحاكم الصادر عام 1917 التي تنص على اختصاص المحاكم المدنية بالنظر في مسائل الأحوال الشخصية كافة باستثناء ما تختص به المحكمة الشرعية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الإسلامية من المواد والمسائل المتعلقة بالأحوال الشخصية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2140C756" w14:textId="3F19352B"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b/>
          <w:bCs/>
          <w:sz w:val="28"/>
          <w:rtl/>
        </w:rPr>
        <w:t xml:space="preserve">ثالثاً : محكمة العمل : </w:t>
      </w:r>
      <w:r w:rsidRPr="00DE5FF7">
        <w:rPr>
          <w:rFonts w:asciiTheme="majorBidi" w:hAnsiTheme="majorBidi" w:cstheme="majorBidi"/>
          <w:sz w:val="28"/>
          <w:rtl/>
        </w:rPr>
        <w:t>نص قانون العمل على أن ((تشكل محكمة عمل ، أو أكثر في كل محافظة ، مما يأتي:</w:t>
      </w:r>
    </w:p>
    <w:p w14:paraId="4D2BEE4E"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أولاً قاضي يرشحه رئيس مجلس القضاء الأعلى بناءً على اقتراح من رئيس محكمة الاستئناف</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29"/>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29620BCA"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ثانياً : ممثل عن الاتحاد العام الأكثر تمثيلاً للعمال</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316B1BFA"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ثالثاً : ممثل عن اتحاد أصحاب العمل الأكثر تمثيلاً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1"/>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751D0641"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   وتختص محكمة العمل بالنظر فيما يأتي :-</w:t>
      </w:r>
    </w:p>
    <w:p w14:paraId="7585F3E8"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((الدعاوى والقضايا والمنازعات المدنية والجزائية المنصوص عليها في هذا القانون ، وفي قانون التقاعد والضمان الاجتماعي للعمال والتشريعات الأخرى))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2"/>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وتختص (بالقرارات المؤقتة في الدعاوى الداخلة في اختصاصها ، وفي حالة عدم وجود محكمة عمل ، فتختص محكمة البداءة بها))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3"/>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وتختص ((بالدعاوى والمسائل الأخرى التي تنص القوانين على اختصاص محكمة العمل بها))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4"/>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 وتعد دعاوى العمل من الدعاوى المستعجلة))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5"/>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2EEAF4B5" w14:textId="77777777" w:rsidR="003F5C52" w:rsidRPr="00DE5FF7" w:rsidRDefault="003F5C52" w:rsidP="00DE5FF7">
      <w:pPr>
        <w:contextualSpacing/>
        <w:jc w:val="both"/>
        <w:rPr>
          <w:rFonts w:asciiTheme="majorBidi" w:hAnsiTheme="majorBidi" w:cstheme="majorBidi"/>
          <w:b/>
          <w:bCs/>
          <w:sz w:val="28"/>
          <w:rtl/>
        </w:rPr>
      </w:pPr>
      <w:r w:rsidRPr="00DE5FF7">
        <w:rPr>
          <w:rFonts w:asciiTheme="majorBidi" w:hAnsiTheme="majorBidi" w:cstheme="majorBidi"/>
          <w:sz w:val="28"/>
          <w:rtl/>
        </w:rPr>
        <w:t xml:space="preserve">   إنَّ أساس المطالبة القضائية الذي تختص به محكمة العمل وفق قانون العمل رقم (37) لسنة 2015 ، هو أن يكون العامل ، الذي هو كل شخص طبيعي سواء أكان ذكراً ، أم أنثى ، أن يعمل بتوجيه وإشراف صاحب </w:t>
      </w:r>
      <w:r w:rsidRPr="00DE5FF7">
        <w:rPr>
          <w:rFonts w:asciiTheme="majorBidi" w:hAnsiTheme="majorBidi" w:cstheme="majorBidi"/>
          <w:sz w:val="28"/>
          <w:rtl/>
        </w:rPr>
        <w:lastRenderedPageBreak/>
        <w:t xml:space="preserve">عمل وتحت إدارته ، سواء أكان يعمل بعقد مكتوب أم شفوي ، صريح أم ضمني ، وعلى سبيل التدريب ، أو الاختبار ، أو يقوم بعمل فكري ، أو بدني ، لقاء أجر ، أياً كان نوعه بموجب هذا القانون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6"/>
      </w:r>
      <w:r w:rsidRPr="00DE5FF7">
        <w:rPr>
          <w:rFonts w:asciiTheme="majorBidi" w:hAnsiTheme="majorBidi" w:cstheme="majorBidi"/>
          <w:sz w:val="24"/>
          <w:szCs w:val="24"/>
          <w:vertAlign w:val="superscript"/>
          <w:rtl/>
        </w:rPr>
        <w:t>)</w:t>
      </w:r>
      <w:r w:rsidRPr="00DE5FF7">
        <w:rPr>
          <w:rFonts w:asciiTheme="majorBidi" w:hAnsiTheme="majorBidi" w:cstheme="majorBidi"/>
          <w:b/>
          <w:bCs/>
          <w:sz w:val="28"/>
          <w:rtl/>
        </w:rPr>
        <w:t>.</w:t>
      </w:r>
    </w:p>
    <w:p w14:paraId="06BA8D1D"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b/>
          <w:bCs/>
          <w:sz w:val="28"/>
          <w:rtl/>
        </w:rPr>
        <w:t xml:space="preserve">ثالثاً : المحاكم التجارية : </w:t>
      </w:r>
      <w:r w:rsidRPr="00DE5FF7">
        <w:rPr>
          <w:rFonts w:asciiTheme="majorBidi" w:hAnsiTheme="majorBidi" w:cstheme="majorBidi"/>
          <w:sz w:val="28"/>
          <w:rtl/>
        </w:rPr>
        <w:t xml:space="preserve">إنَّ اختصاصات محكمة البداءة المتخصصة بالدعاوى التجارية تشمل النظر في دعاوى المقاولات الحكومية ، ودعاوى الاستثمار الناشئة عن تطبيق قانون الاستثمار رقم (13) لسنة 2006 ، والدعاوى التجارية التي يكون أحد أطرافها اجنبياً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w:t>
      </w:r>
    </w:p>
    <w:p w14:paraId="3DC43E58" w14:textId="77777777" w:rsidR="003F5C52" w:rsidRPr="00DE5FF7" w:rsidRDefault="003F5C52" w:rsidP="00DE5FF7">
      <w:pPr>
        <w:contextualSpacing/>
        <w:jc w:val="both"/>
        <w:rPr>
          <w:rFonts w:asciiTheme="majorBidi" w:hAnsiTheme="majorBidi" w:cstheme="majorBidi"/>
          <w:b/>
          <w:bCs/>
          <w:sz w:val="28"/>
          <w:rtl/>
        </w:rPr>
      </w:pPr>
      <w:r w:rsidRPr="00DE5FF7">
        <w:rPr>
          <w:rFonts w:asciiTheme="majorBidi" w:hAnsiTheme="majorBidi" w:cstheme="majorBidi"/>
          <w:sz w:val="28"/>
          <w:rtl/>
        </w:rPr>
        <w:t xml:space="preserve">   تم تشكيل المحكمة التجارية في رئاسة محكمة استئناف بغداد / الرصافة الاتحادية ، وقد نشر بيان تشكيلها في الجريدة الرسمية في 29/11/2010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وهي محكمة بداءة ، وتشكل من قاضي واحد ، وتكون مختصة بالنظر في الدعاوى التجارية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39"/>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كما تم تشكيل محكمة الاستثمار ببيان صادر من مجلس القضاء الأعلى</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وتشكل من قاض واحد في مركز كل منطقة استئنافية ، والتي تختص بالنظر في المنازعات الناشئة عن قانون الاستثمار رقم (13) لسنة 2006.</w:t>
      </w:r>
    </w:p>
    <w:p w14:paraId="2C988146"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b/>
          <w:bCs/>
          <w:sz w:val="28"/>
          <w:rtl/>
        </w:rPr>
        <w:t xml:space="preserve">رابعاً : محاكم البداءة : </w:t>
      </w:r>
      <w:r w:rsidRPr="00DE5FF7">
        <w:rPr>
          <w:rFonts w:asciiTheme="majorBidi" w:hAnsiTheme="majorBidi" w:cstheme="majorBidi"/>
          <w:sz w:val="28"/>
          <w:rtl/>
        </w:rPr>
        <w:t>محكمة البداءة هي صاحبة الاختصاص العام والشامل في نظر كافة الدعاوى ، إلا إذا نص القانون على أن منازعة ما ، من اختصاص محكمة أو جهة أخرى . وتختص محكمة البداءة بدرجة أخيرة بنظر بعض الدعاوى . كما تختص بدرجة أولى بنظر البعض الآخر من الدعاوى . وقد نص القانون على نوعية هذه الدعاوى في قانون المرافعات المدنية ، أو في قوانين أخرى . ونتناول الآن الاختصاص الحصري والعام لمحكمة البداءة فيما يلي :</w:t>
      </w:r>
    </w:p>
    <w:p w14:paraId="71A422F5"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أولاً : تختص محكمة البداءة بدرجة أخيرة قابلة للتمييز بالنظر في الدعاوى الآتية :</w:t>
      </w:r>
    </w:p>
    <w:p w14:paraId="40DE0A9D"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 xml:space="preserve">دعوى الدين والمنقول ، التي لا تزيد قيمتها على مليون دينار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1"/>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2149FB62"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دعوى إزالة الشيوع في العقار ، أو المنقول مهما بلغت قيمة كل منهما.</w:t>
      </w:r>
    </w:p>
    <w:p w14:paraId="2E3DA9FB"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تخلية المأجور مهما بلغ مقدار الأجرة.</w:t>
      </w:r>
    </w:p>
    <w:p w14:paraId="0EAED1B0"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lastRenderedPageBreak/>
        <w:t>دعوى الحيازة وطلب التعويض عنها ، إذا رفعت بالتبعية ، ولم تتجاوز قيمة التعويض مليون دينار.</w:t>
      </w:r>
    </w:p>
    <w:p w14:paraId="63AEF5B2"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دعوى الأقساط المستحقة من الديون المقسطة ، على أن لا يزيد مقدارها على مليون دينار أو أقل ، أما إذا آلت الدعوى لإثبات أصل الدين الذي يزيد على المبلغ المذكور. فتنظرها محكمة البداءة بدعوى أولى .</w:t>
      </w:r>
    </w:p>
    <w:p w14:paraId="4A14A6AC"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الدعاوى الأخرى التي تنص القوانين على اختصاص محكمة البداءة بها</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2"/>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154AFBBD"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المسائل المستعجلة التي يخشى عليها من فوات الوقت ، بشرط عدم المساس بأصل الحق</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3"/>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78A840AC" w14:textId="77777777" w:rsidR="003F5C52" w:rsidRPr="00DE5FF7" w:rsidRDefault="003F5C52" w:rsidP="00DE5FF7">
      <w:pPr>
        <w:numPr>
          <w:ilvl w:val="0"/>
          <w:numId w:val="40"/>
        </w:numPr>
        <w:spacing w:after="200"/>
        <w:contextualSpacing/>
        <w:jc w:val="both"/>
        <w:rPr>
          <w:rFonts w:asciiTheme="majorBidi" w:hAnsiTheme="majorBidi" w:cstheme="majorBidi"/>
          <w:sz w:val="28"/>
        </w:rPr>
      </w:pPr>
      <w:r w:rsidRPr="00DE5FF7">
        <w:rPr>
          <w:rFonts w:asciiTheme="majorBidi" w:hAnsiTheme="majorBidi" w:cstheme="majorBidi"/>
          <w:sz w:val="28"/>
          <w:rtl/>
        </w:rPr>
        <w:t>الدعاوى التابعة لرسم مقطوع ، أو غير مقدرة القيمة</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4"/>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69C5FD78"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ثانياً : الدعاوى التي تختص بنظرها محكمة البداءة ، ويكون حكمها بدرجة أولى ، وهي :</w:t>
      </w:r>
    </w:p>
    <w:p w14:paraId="6B99CF84" w14:textId="77777777" w:rsidR="003F5C52" w:rsidRPr="00DE5FF7" w:rsidRDefault="003F5C52" w:rsidP="00DE5FF7">
      <w:pPr>
        <w:numPr>
          <w:ilvl w:val="0"/>
          <w:numId w:val="41"/>
        </w:numPr>
        <w:spacing w:after="200"/>
        <w:contextualSpacing/>
        <w:jc w:val="both"/>
        <w:rPr>
          <w:rFonts w:asciiTheme="majorBidi" w:hAnsiTheme="majorBidi" w:cstheme="majorBidi"/>
          <w:sz w:val="28"/>
        </w:rPr>
      </w:pPr>
      <w:r w:rsidRPr="00DE5FF7">
        <w:rPr>
          <w:rFonts w:asciiTheme="majorBidi" w:hAnsiTheme="majorBidi" w:cstheme="majorBidi"/>
          <w:sz w:val="28"/>
          <w:rtl/>
        </w:rPr>
        <w:t>الدعاوى التي تزيد قيمتها على مليون دينار.</w:t>
      </w:r>
    </w:p>
    <w:p w14:paraId="06BADC83" w14:textId="77777777" w:rsidR="003F5C52" w:rsidRPr="00DE5FF7" w:rsidRDefault="003F5C52" w:rsidP="00DE5FF7">
      <w:pPr>
        <w:numPr>
          <w:ilvl w:val="0"/>
          <w:numId w:val="41"/>
        </w:numPr>
        <w:spacing w:after="200"/>
        <w:contextualSpacing/>
        <w:jc w:val="both"/>
        <w:rPr>
          <w:rFonts w:asciiTheme="majorBidi" w:hAnsiTheme="majorBidi" w:cstheme="majorBidi"/>
          <w:sz w:val="28"/>
        </w:rPr>
      </w:pPr>
      <w:r w:rsidRPr="00DE5FF7">
        <w:rPr>
          <w:rFonts w:asciiTheme="majorBidi" w:hAnsiTheme="majorBidi" w:cstheme="majorBidi"/>
          <w:sz w:val="28"/>
          <w:rtl/>
        </w:rPr>
        <w:t>دعاوى الإفلاس ، وما ينشأ عن التفليسة وفق الأحكام المقررة في قانون التجارة</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5"/>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49AA543F" w14:textId="77777777" w:rsidR="003F5C52" w:rsidRPr="00DE5FF7" w:rsidRDefault="003F5C52" w:rsidP="00DE5FF7">
      <w:pPr>
        <w:numPr>
          <w:ilvl w:val="0"/>
          <w:numId w:val="41"/>
        </w:numPr>
        <w:spacing w:after="200"/>
        <w:contextualSpacing/>
        <w:jc w:val="both"/>
        <w:rPr>
          <w:rFonts w:asciiTheme="majorBidi" w:hAnsiTheme="majorBidi" w:cstheme="majorBidi"/>
          <w:sz w:val="28"/>
        </w:rPr>
      </w:pPr>
      <w:r w:rsidRPr="00DE5FF7">
        <w:rPr>
          <w:rFonts w:asciiTheme="majorBidi" w:hAnsiTheme="majorBidi" w:cstheme="majorBidi"/>
          <w:sz w:val="28"/>
          <w:rtl/>
        </w:rPr>
        <w:t>دعاوى تصفية الشركات ، وما ينشأ عن التصفية وفق الأحكام المقررة في قانون الشركات</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6"/>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1D7AE9D8" w14:textId="74A4B894" w:rsidR="00C81585" w:rsidRPr="00C81585" w:rsidRDefault="003F5C52" w:rsidP="00C81585">
      <w:pPr>
        <w:numPr>
          <w:ilvl w:val="0"/>
          <w:numId w:val="41"/>
        </w:numPr>
        <w:spacing w:after="200"/>
        <w:contextualSpacing/>
        <w:jc w:val="both"/>
        <w:rPr>
          <w:rFonts w:asciiTheme="majorBidi" w:hAnsiTheme="majorBidi" w:cstheme="majorBidi"/>
          <w:sz w:val="28"/>
          <w:rtl/>
        </w:rPr>
      </w:pPr>
      <w:r w:rsidRPr="00DE5FF7">
        <w:rPr>
          <w:rFonts w:asciiTheme="majorBidi" w:hAnsiTheme="majorBidi" w:cstheme="majorBidi"/>
          <w:sz w:val="28"/>
          <w:rtl/>
        </w:rPr>
        <w:t>كافة الدعاوى التي لا تختص بها محكمة البداءة - والتي يكون حكمها فيها بدرجة أخيرة- أو محكمة الأحوال الشخصية</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05A4143C" w14:textId="16999878" w:rsidR="003F5C52" w:rsidRPr="00DE5FF7" w:rsidRDefault="003F5C52" w:rsidP="00DE5FF7">
      <w:pPr>
        <w:contextualSpacing/>
        <w:jc w:val="both"/>
        <w:rPr>
          <w:rFonts w:asciiTheme="majorBidi" w:hAnsiTheme="majorBidi" w:cstheme="majorBidi"/>
          <w:b/>
          <w:bCs/>
          <w:sz w:val="28"/>
          <w:rtl/>
        </w:rPr>
      </w:pPr>
      <w:r w:rsidRPr="00DE5FF7">
        <w:rPr>
          <w:rFonts w:asciiTheme="majorBidi" w:hAnsiTheme="majorBidi" w:cstheme="majorBidi"/>
          <w:b/>
          <w:bCs/>
          <w:sz w:val="28"/>
          <w:rtl/>
        </w:rPr>
        <w:t xml:space="preserve">خامساً : المحكمة </w:t>
      </w:r>
      <w:proofErr w:type="spellStart"/>
      <w:r w:rsidRPr="00DE5FF7">
        <w:rPr>
          <w:rFonts w:asciiTheme="majorBidi" w:hAnsiTheme="majorBidi" w:cstheme="majorBidi"/>
          <w:b/>
          <w:bCs/>
          <w:sz w:val="28"/>
          <w:rtl/>
        </w:rPr>
        <w:t>الكمركية</w:t>
      </w:r>
      <w:proofErr w:type="spellEnd"/>
      <w:r w:rsidRPr="00DE5FF7">
        <w:rPr>
          <w:rFonts w:asciiTheme="majorBidi" w:hAnsiTheme="majorBidi" w:cstheme="majorBidi"/>
          <w:b/>
          <w:bCs/>
          <w:sz w:val="28"/>
          <w:rtl/>
        </w:rPr>
        <w:t xml:space="preserve"> :</w:t>
      </w:r>
    </w:p>
    <w:p w14:paraId="02A8FCD8"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b/>
          <w:bCs/>
          <w:sz w:val="28"/>
          <w:rtl/>
        </w:rPr>
        <w:t xml:space="preserve">   </w:t>
      </w:r>
      <w:r w:rsidRPr="00DE5FF7">
        <w:rPr>
          <w:rFonts w:asciiTheme="majorBidi" w:hAnsiTheme="majorBidi" w:cstheme="majorBidi"/>
          <w:sz w:val="28"/>
          <w:rtl/>
        </w:rPr>
        <w:t xml:space="preserve">المحكمة </w:t>
      </w:r>
      <w:proofErr w:type="spellStart"/>
      <w:r w:rsidRPr="00DE5FF7">
        <w:rPr>
          <w:rFonts w:asciiTheme="majorBidi" w:hAnsiTheme="majorBidi" w:cstheme="majorBidi"/>
          <w:sz w:val="28"/>
          <w:rtl/>
        </w:rPr>
        <w:t>الكمركية</w:t>
      </w:r>
      <w:proofErr w:type="spellEnd"/>
      <w:r w:rsidRPr="00DE5FF7">
        <w:rPr>
          <w:rFonts w:asciiTheme="majorBidi" w:hAnsiTheme="majorBidi" w:cstheme="majorBidi"/>
          <w:sz w:val="28"/>
          <w:rtl/>
        </w:rPr>
        <w:t xml:space="preserve"> هي جهة قضائية متخصصة تختص بالنظر في جميع القضايا الناشئة عن تطبيق قانون </w:t>
      </w:r>
      <w:proofErr w:type="spellStart"/>
      <w:r w:rsidRPr="00DE5FF7">
        <w:rPr>
          <w:rFonts w:asciiTheme="majorBidi" w:hAnsiTheme="majorBidi" w:cstheme="majorBidi"/>
          <w:sz w:val="28"/>
          <w:rtl/>
        </w:rPr>
        <w:t>الكمارك</w:t>
      </w:r>
      <w:proofErr w:type="spellEnd"/>
      <w:r w:rsidRPr="00DE5FF7">
        <w:rPr>
          <w:rFonts w:asciiTheme="majorBidi" w:hAnsiTheme="majorBidi" w:cstheme="majorBidi"/>
          <w:sz w:val="28"/>
          <w:rtl/>
        </w:rPr>
        <w:t xml:space="preserve"> ، بما في ذلك المخالفات ، والنزاعات المتعلقة بالرسوم والغرامات </w:t>
      </w:r>
      <w:proofErr w:type="spellStart"/>
      <w:r w:rsidRPr="00DE5FF7">
        <w:rPr>
          <w:rFonts w:asciiTheme="majorBidi" w:hAnsiTheme="majorBidi" w:cstheme="majorBidi"/>
          <w:sz w:val="28"/>
          <w:rtl/>
        </w:rPr>
        <w:t>الكمركية</w:t>
      </w:r>
      <w:proofErr w:type="spellEnd"/>
      <w:r w:rsidRPr="00DE5FF7">
        <w:rPr>
          <w:rFonts w:asciiTheme="majorBidi" w:hAnsiTheme="majorBidi" w:cstheme="majorBidi"/>
          <w:sz w:val="28"/>
          <w:rtl/>
        </w:rPr>
        <w:t xml:space="preserve"> </w:t>
      </w:r>
      <w:proofErr w:type="spellStart"/>
      <w:r w:rsidRPr="00DE5FF7">
        <w:rPr>
          <w:rFonts w:asciiTheme="majorBidi" w:hAnsiTheme="majorBidi" w:cstheme="majorBidi"/>
          <w:sz w:val="28"/>
          <w:rtl/>
        </w:rPr>
        <w:t>والتهربات</w:t>
      </w:r>
      <w:proofErr w:type="spellEnd"/>
      <w:r w:rsidRPr="00DE5FF7">
        <w:rPr>
          <w:rFonts w:asciiTheme="majorBidi" w:hAnsiTheme="majorBidi" w:cstheme="majorBidi"/>
          <w:sz w:val="28"/>
          <w:rtl/>
        </w:rPr>
        <w:t xml:space="preserve"> الجمركية ، والفصل في الاعتراضات على قرارات الهيئة العامة </w:t>
      </w:r>
      <w:proofErr w:type="spellStart"/>
      <w:r w:rsidRPr="00DE5FF7">
        <w:rPr>
          <w:rFonts w:asciiTheme="majorBidi" w:hAnsiTheme="majorBidi" w:cstheme="majorBidi"/>
          <w:sz w:val="28"/>
          <w:rtl/>
        </w:rPr>
        <w:t>للكمارك</w:t>
      </w:r>
      <w:proofErr w:type="spellEnd"/>
      <w:r w:rsidRPr="00DE5FF7">
        <w:rPr>
          <w:rFonts w:asciiTheme="majorBidi" w:hAnsiTheme="majorBidi" w:cstheme="majorBidi"/>
          <w:sz w:val="28"/>
          <w:rtl/>
        </w:rPr>
        <w:t xml:space="preserve"> وتتشكل المحكمة </w:t>
      </w:r>
      <w:proofErr w:type="spellStart"/>
      <w:r w:rsidRPr="00DE5FF7">
        <w:rPr>
          <w:rFonts w:asciiTheme="majorBidi" w:hAnsiTheme="majorBidi" w:cstheme="majorBidi"/>
          <w:sz w:val="28"/>
          <w:rtl/>
        </w:rPr>
        <w:t>الكمركية</w:t>
      </w:r>
      <w:proofErr w:type="spellEnd"/>
      <w:r w:rsidRPr="00DE5FF7">
        <w:rPr>
          <w:rFonts w:asciiTheme="majorBidi" w:hAnsiTheme="majorBidi" w:cstheme="majorBidi"/>
          <w:sz w:val="28"/>
          <w:rtl/>
        </w:rPr>
        <w:t xml:space="preserve"> من قضاة حصراً </w:t>
      </w:r>
      <w:r w:rsidRPr="00DE5FF7">
        <w:rPr>
          <w:rFonts w:asciiTheme="majorBidi" w:hAnsiTheme="majorBidi" w:cstheme="majorBidi"/>
          <w:sz w:val="28"/>
          <w:rtl/>
        </w:rPr>
        <w:lastRenderedPageBreak/>
        <w:t>لضمان استقلال القضاء وفق الدستور العراقي ويتم تعينهم من قبل مجلس القضاء الأعلى ويكون عددهم ثلاثة قضاة رئيس واثنان من القضاة الأعضاء.</w:t>
      </w:r>
    </w:p>
    <w:p w14:paraId="27F8A30B"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   وتختص المحكمة </w:t>
      </w:r>
      <w:proofErr w:type="spellStart"/>
      <w:r w:rsidRPr="00DE5FF7">
        <w:rPr>
          <w:rFonts w:asciiTheme="majorBidi" w:hAnsiTheme="majorBidi" w:cstheme="majorBidi"/>
          <w:sz w:val="28"/>
          <w:rtl/>
        </w:rPr>
        <w:t>الكمركية</w:t>
      </w:r>
      <w:proofErr w:type="spellEnd"/>
      <w:r w:rsidRPr="00DE5FF7">
        <w:rPr>
          <w:rFonts w:asciiTheme="majorBidi" w:hAnsiTheme="majorBidi" w:cstheme="majorBidi"/>
          <w:sz w:val="28"/>
          <w:rtl/>
        </w:rPr>
        <w:t xml:space="preserve"> بما يأتي :-</w:t>
      </w:r>
    </w:p>
    <w:p w14:paraId="089395CC"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أولاً : الفصل في الدعاوى المتعلقة بجرائم التهريب .</w:t>
      </w:r>
    </w:p>
    <w:p w14:paraId="20E67174"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ثانياً : الفصل في الدعاوى التي تقيمها الدائرة </w:t>
      </w:r>
      <w:proofErr w:type="spellStart"/>
      <w:r w:rsidRPr="00DE5FF7">
        <w:rPr>
          <w:rFonts w:asciiTheme="majorBidi" w:hAnsiTheme="majorBidi" w:cstheme="majorBidi"/>
          <w:sz w:val="28"/>
          <w:rtl/>
        </w:rPr>
        <w:t>الكمركية</w:t>
      </w:r>
      <w:proofErr w:type="spellEnd"/>
      <w:r w:rsidRPr="00DE5FF7">
        <w:rPr>
          <w:rFonts w:asciiTheme="majorBidi" w:hAnsiTheme="majorBidi" w:cstheme="majorBidi"/>
          <w:sz w:val="28"/>
          <w:rtl/>
        </w:rPr>
        <w:t xml:space="preserve"> من أجل تحصيل الرسوم </w:t>
      </w:r>
      <w:proofErr w:type="spellStart"/>
      <w:r w:rsidRPr="00DE5FF7">
        <w:rPr>
          <w:rFonts w:asciiTheme="majorBidi" w:hAnsiTheme="majorBidi" w:cstheme="majorBidi"/>
          <w:sz w:val="28"/>
          <w:rtl/>
        </w:rPr>
        <w:t>الكمركية</w:t>
      </w:r>
      <w:proofErr w:type="spellEnd"/>
      <w:r w:rsidRPr="00DE5FF7">
        <w:rPr>
          <w:rFonts w:asciiTheme="majorBidi" w:hAnsiTheme="majorBidi" w:cstheme="majorBidi"/>
          <w:sz w:val="28"/>
          <w:rtl/>
        </w:rPr>
        <w:t xml:space="preserve"> والضرائب والتكاليف الأخرى .</w:t>
      </w:r>
    </w:p>
    <w:p w14:paraId="688791F6" w14:textId="3522530C" w:rsidR="00C81585" w:rsidRPr="00C81585" w:rsidRDefault="003F5C52" w:rsidP="00C81585">
      <w:pPr>
        <w:jc w:val="both"/>
        <w:rPr>
          <w:rFonts w:asciiTheme="majorBidi" w:hAnsiTheme="majorBidi" w:cstheme="majorBidi"/>
          <w:sz w:val="28"/>
          <w:rtl/>
        </w:rPr>
      </w:pPr>
      <w:r w:rsidRPr="00DE5FF7">
        <w:rPr>
          <w:rFonts w:asciiTheme="majorBidi" w:hAnsiTheme="majorBidi" w:cstheme="majorBidi"/>
          <w:sz w:val="28"/>
          <w:rtl/>
        </w:rPr>
        <w:t>ثالثاً : النظر في الاعتراضات على قرارات التحصيل والتغريم عملاً بأحكام المادة (240) من هذا القانون</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4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3243D0CB" w14:textId="0F69CA6E" w:rsidR="003F5C52" w:rsidRPr="00DE5FF7" w:rsidRDefault="003F5C52" w:rsidP="00DE5FF7">
      <w:pPr>
        <w:contextualSpacing/>
        <w:jc w:val="both"/>
        <w:rPr>
          <w:rFonts w:asciiTheme="majorBidi" w:hAnsiTheme="majorBidi" w:cstheme="majorBidi"/>
          <w:b/>
          <w:bCs/>
          <w:sz w:val="28"/>
          <w:rtl/>
        </w:rPr>
      </w:pPr>
      <w:r w:rsidRPr="00DE5FF7">
        <w:rPr>
          <w:rFonts w:asciiTheme="majorBidi" w:hAnsiTheme="majorBidi" w:cstheme="majorBidi"/>
          <w:b/>
          <w:bCs/>
          <w:sz w:val="28"/>
          <w:rtl/>
        </w:rPr>
        <w:t>سادساً : محكمة الخدمات المالية :</w:t>
      </w:r>
    </w:p>
    <w:p w14:paraId="6EADD9EE" w14:textId="33F76675" w:rsidR="003F5C52" w:rsidRPr="00DE5FF7" w:rsidRDefault="003F5C52" w:rsidP="00DE5FF7">
      <w:pPr>
        <w:contextualSpacing/>
        <w:jc w:val="both"/>
        <w:rPr>
          <w:rFonts w:asciiTheme="majorBidi" w:hAnsiTheme="majorBidi" w:cstheme="majorBidi"/>
          <w:b/>
          <w:bCs/>
          <w:sz w:val="28"/>
          <w:rtl/>
          <w:lang w:bidi="ar-IQ"/>
        </w:rPr>
      </w:pPr>
      <w:r w:rsidRPr="00DE5FF7">
        <w:rPr>
          <w:rFonts w:asciiTheme="majorBidi" w:hAnsiTheme="majorBidi" w:cstheme="majorBidi"/>
          <w:sz w:val="28"/>
          <w:rtl/>
        </w:rPr>
        <w:t xml:space="preserve">  محكمة الخدمات المالية هي جهة قضائية متخصصة للفصل في النزاعات والخلافات المتعلقة بالقطاع المالي والمصرفي والخدمات المالية الأخرى بما في ذلك القضايا المتعلقة بالبنوك، وشركات التأمين تشكلت هذه المحكمة من قضاة متخصصين في القانون المالي أو التجاري يعينون من قبل مجلس القضاء الأعلى ويمكن ان تشكل من هيئة قضائية متعددة الأعضاء رئيس وأعضاء حسب حجم القضايا المعروضة وطبيعتها ، ويكون من اختصاصها مراجعة القرارات والأوامر التالية التي يصدرها المصرف المركزي العراقي</w:t>
      </w:r>
      <w:r w:rsidRPr="00DE5FF7">
        <w:rPr>
          <w:rFonts w:asciiTheme="majorBidi" w:hAnsiTheme="majorBidi" w:cstheme="majorBidi"/>
          <w:b/>
          <w:bCs/>
          <w:sz w:val="28"/>
          <w:rtl/>
        </w:rPr>
        <w:t xml:space="preserve">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49"/>
      </w:r>
      <w:r w:rsidRPr="00DE5FF7">
        <w:rPr>
          <w:rFonts w:asciiTheme="majorBidi" w:hAnsiTheme="majorBidi" w:cstheme="majorBidi"/>
          <w:sz w:val="24"/>
          <w:szCs w:val="24"/>
          <w:vertAlign w:val="superscript"/>
          <w:rtl/>
        </w:rPr>
        <w:t>)</w:t>
      </w:r>
      <w:r w:rsidRPr="00DE5FF7">
        <w:rPr>
          <w:rFonts w:asciiTheme="majorBidi" w:hAnsiTheme="majorBidi" w:cstheme="majorBidi"/>
          <w:b/>
          <w:bCs/>
          <w:sz w:val="28"/>
          <w:rtl/>
        </w:rPr>
        <w:t xml:space="preserve"> </w:t>
      </w:r>
    </w:p>
    <w:p w14:paraId="1E8E65AA" w14:textId="77777777" w:rsidR="003F5C52" w:rsidRPr="00DE5FF7" w:rsidRDefault="003F5C52" w:rsidP="00867FC8">
      <w:pPr>
        <w:tabs>
          <w:tab w:val="left" w:pos="1652"/>
        </w:tabs>
        <w:spacing w:line="240" w:lineRule="auto"/>
        <w:jc w:val="center"/>
        <w:rPr>
          <w:rFonts w:asciiTheme="majorBidi" w:hAnsiTheme="majorBidi" w:cstheme="majorBidi"/>
          <w:b/>
          <w:bCs/>
          <w:sz w:val="32"/>
          <w:szCs w:val="32"/>
          <w:rtl/>
        </w:rPr>
      </w:pPr>
      <w:r w:rsidRPr="00DE5FF7">
        <w:rPr>
          <w:rFonts w:asciiTheme="majorBidi" w:hAnsiTheme="majorBidi" w:cstheme="majorBidi"/>
          <w:b/>
          <w:bCs/>
          <w:sz w:val="32"/>
          <w:szCs w:val="32"/>
          <w:rtl/>
        </w:rPr>
        <w:t>الفرع الثاني</w:t>
      </w:r>
    </w:p>
    <w:p w14:paraId="57DEFB4E" w14:textId="77777777" w:rsidR="003F5C52" w:rsidRPr="00DE5FF7" w:rsidRDefault="003F5C52" w:rsidP="00867FC8">
      <w:pPr>
        <w:tabs>
          <w:tab w:val="left" w:pos="1652"/>
        </w:tabs>
        <w:spacing w:line="240" w:lineRule="auto"/>
        <w:jc w:val="center"/>
        <w:rPr>
          <w:rFonts w:asciiTheme="majorBidi" w:hAnsiTheme="majorBidi" w:cstheme="majorBidi"/>
          <w:b/>
          <w:bCs/>
          <w:sz w:val="32"/>
          <w:szCs w:val="32"/>
          <w:rtl/>
        </w:rPr>
      </w:pPr>
      <w:r w:rsidRPr="00DE5FF7">
        <w:rPr>
          <w:rFonts w:asciiTheme="majorBidi" w:hAnsiTheme="majorBidi" w:cstheme="majorBidi"/>
          <w:b/>
          <w:bCs/>
          <w:sz w:val="32"/>
          <w:szCs w:val="32"/>
          <w:rtl/>
        </w:rPr>
        <w:t>الاختصاص النوعي لمحاكم الدرجة الثانية</w:t>
      </w:r>
    </w:p>
    <w:p w14:paraId="205BC34B"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   القضاء في العراق على درجتين : المحاكم البدائية ومحاكم الأحوال الشخصية ، وهذه هي محاكم الدرجة الأولى ، ومحاكم الدرجة الثانية هي محاكم الاستئناف . وتُعرف محكمة الاستئناف ، بأنها الهيأة القضائية العليا لمحاكم محافظة أو أكثر ، وتتألف من رئيس ، وعدد كاف من نواب الرئيس والقضاة ، وتمارس الاختصاصات المعينة لها بموجب القانون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وعند صدور قانون التنظيم القضائي رقم 160 لسنة 1979 كانت كل محكمة استئناف تشمل محاكم عدد من المحافظات ، ومع مرور الزمن أصبح الآن في كل محافظة </w:t>
      </w:r>
      <w:r w:rsidRPr="00DE5FF7">
        <w:rPr>
          <w:rFonts w:asciiTheme="majorBidi" w:hAnsiTheme="majorBidi" w:cstheme="majorBidi"/>
          <w:sz w:val="28"/>
          <w:rtl/>
        </w:rPr>
        <w:lastRenderedPageBreak/>
        <w:t xml:space="preserve">محكمة استئناف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1"/>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وتنعقد هيأتها برئاسة رئيسها ، أو أحد نوابه ، وعضوية نائبين من نوابه ، أو أحدهم وقاضي محكمة الاستئناف ، أو عضوية قاضيين من قضاتها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2"/>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7B5FD38F" w14:textId="77777777" w:rsidR="003F5C52" w:rsidRPr="00DE5FF7" w:rsidRDefault="003F5C52" w:rsidP="00DE5FF7">
      <w:pPr>
        <w:jc w:val="both"/>
        <w:rPr>
          <w:rFonts w:asciiTheme="majorBidi" w:hAnsiTheme="majorBidi" w:cstheme="majorBidi"/>
          <w:sz w:val="28"/>
        </w:rPr>
      </w:pPr>
      <w:r w:rsidRPr="00DE5FF7">
        <w:rPr>
          <w:rFonts w:asciiTheme="majorBidi" w:hAnsiTheme="majorBidi" w:cstheme="majorBidi"/>
          <w:sz w:val="28"/>
          <w:rtl/>
        </w:rPr>
        <w:t xml:space="preserve">   الاستئناف طريق من طرق الطعن العادية ، يتيح للخصوم الطعن في الأحكام الصادرة من محكمة البداءة بدرجة أولى بقصد فسخه أو تعديله</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3"/>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وإن الاستئناف ينقل الدعوى بحالتها التي كانت عليها قبل صدور حكم البداءة ، بالنسبة لما رفع عنه الاستئناف فقط</w:t>
      </w:r>
      <w:r w:rsidRPr="00DE5FF7">
        <w:rPr>
          <w:rFonts w:asciiTheme="majorBidi" w:hAnsiTheme="majorBidi" w:cstheme="majorBidi"/>
          <w:sz w:val="28"/>
          <w:vertAlign w:val="superscript"/>
          <w:rtl/>
        </w:rPr>
        <w:t>(</w:t>
      </w:r>
      <w:r w:rsidRPr="00DE5FF7">
        <w:rPr>
          <w:rFonts w:asciiTheme="majorBidi" w:hAnsiTheme="majorBidi" w:cstheme="majorBidi"/>
          <w:sz w:val="28"/>
          <w:vertAlign w:val="superscript"/>
          <w:rtl/>
        </w:rPr>
        <w:footnoteReference w:id="54"/>
      </w:r>
      <w:r w:rsidRPr="00DE5FF7">
        <w:rPr>
          <w:rFonts w:asciiTheme="majorBidi" w:hAnsiTheme="majorBidi" w:cstheme="majorBidi"/>
          <w:sz w:val="28"/>
          <w:vertAlign w:val="superscript"/>
          <w:rtl/>
        </w:rPr>
        <w:t xml:space="preserve">)  </w:t>
      </w:r>
      <w:r w:rsidRPr="00DE5FF7">
        <w:rPr>
          <w:rFonts w:asciiTheme="majorBidi" w:hAnsiTheme="majorBidi" w:cstheme="majorBidi"/>
          <w:sz w:val="28"/>
          <w:rtl/>
        </w:rPr>
        <w:t>.</w:t>
      </w:r>
      <w:r w:rsidRPr="00DE5FF7">
        <w:rPr>
          <w:rFonts w:asciiTheme="majorBidi" w:hAnsiTheme="majorBidi" w:cstheme="majorBidi"/>
          <w:sz w:val="28"/>
          <w:vertAlign w:val="superscript"/>
          <w:rtl/>
        </w:rPr>
        <w:t xml:space="preserve"> </w:t>
      </w:r>
      <w:r w:rsidRPr="00DE5FF7">
        <w:rPr>
          <w:rFonts w:asciiTheme="majorBidi" w:hAnsiTheme="majorBidi" w:cstheme="majorBidi"/>
          <w:sz w:val="28"/>
          <w:rtl/>
        </w:rPr>
        <w:t>إن الغاية من الاستئناف ، هو نظر الدعوى من جديد من آخر إجراء تم من قبل محكمة البداءة ، كوسيلة لإعادة نظر محكمة الاستئناف في الفصل بالدعوى من جديد ، من حيث الواقع والقانون ، دون أن تتركز وظيفتها في اصلاح حكم محكمة البداءة، الذي ربما لا تجد سبيلاً الى ذلك، في حالة تأييدها للحكم المطعون فيه، والذي مع التطور أصبحت الغاية منه انهاء النزاع</w:t>
      </w:r>
      <w:r w:rsidRPr="00DE5FF7">
        <w:rPr>
          <w:rFonts w:asciiTheme="majorBidi" w:hAnsiTheme="majorBidi" w:cstheme="majorBidi"/>
          <w:sz w:val="28"/>
          <w:vertAlign w:val="superscript"/>
          <w:rtl/>
        </w:rPr>
        <w:t>(</w:t>
      </w:r>
      <w:r w:rsidRPr="00DE5FF7">
        <w:rPr>
          <w:rFonts w:asciiTheme="majorBidi" w:hAnsiTheme="majorBidi" w:cstheme="majorBidi"/>
          <w:sz w:val="28"/>
          <w:vertAlign w:val="superscript"/>
          <w:rtl/>
        </w:rPr>
        <w:footnoteReference w:id="55"/>
      </w:r>
      <w:r w:rsidRPr="00DE5FF7">
        <w:rPr>
          <w:rFonts w:asciiTheme="majorBidi" w:hAnsiTheme="majorBidi" w:cstheme="majorBidi"/>
          <w:sz w:val="28"/>
          <w:vertAlign w:val="superscript"/>
          <w:rtl/>
        </w:rPr>
        <w:t>)</w:t>
      </w:r>
      <w:r w:rsidRPr="00DE5FF7">
        <w:rPr>
          <w:rFonts w:asciiTheme="majorBidi" w:hAnsiTheme="majorBidi" w:cstheme="majorBidi"/>
          <w:sz w:val="28"/>
          <w:rtl/>
        </w:rPr>
        <w:t>.</w:t>
      </w:r>
    </w:p>
    <w:p w14:paraId="26440173"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   إنَّ محكمة الاستئناف بصفتها الأصلية باعتبارها محكمة طعن استئنافي تختص في الطعن في الأحكام الصادرة من محاكم البداءة بدرجة أولى، وبالمسائل الأخرى المبينة في القانون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6"/>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وقد أكد القانون الاختصاص لها في مورد آخر، إذ نص على أنه يجوز للخصوم الطعن بطريق الاستئناف في أحكام محاكم البداءة الصادرة بدرجة أولى في الدعاوى التي تتجاوز قيمتها مليون دينار ، والأحكام الصادرة منها في قضايا الإفلاس وتصفية الشركات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ومن المسائل الأخرى المبينة لاختصاص محكمة الاستئناف هي الشكوى من القضاة التابع لها المشكو من ، إلا إذا تعلقت الشكوى برئيس محكمة الاستئناف ، أو أحد قضاتها ، فتقدم الشكوى إلى محكمة التمييز</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19F84CDB"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   وقد تقدّم إيضاحٌ بأنّ القانون منع محاكم البداءة من نظر دعوى تصفية الشركات ، إلا بالنسبة للشركة البسيطة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59"/>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كما منع محكمة البداءة من نظر دعوى إفلاس وتصفية المصارف ، والتجار الحاصلين على ترخيص ، أو اذن بممارسة النشاط المصرفي ، أو أي أعمال مصرفية أخرى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6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وعليه ، فكل ما تختص </w:t>
      </w:r>
      <w:r w:rsidRPr="00DE5FF7">
        <w:rPr>
          <w:rFonts w:asciiTheme="majorBidi" w:hAnsiTheme="majorBidi" w:cstheme="majorBidi"/>
          <w:sz w:val="28"/>
          <w:rtl/>
        </w:rPr>
        <w:lastRenderedPageBreak/>
        <w:t xml:space="preserve">به محكمة البداءة في أحكامها التي تصدرها بدرجة أولى ، يجوز لمن خسر الدعوى الحق في الطعن أمام محكمة الاستئناف . </w:t>
      </w:r>
    </w:p>
    <w:p w14:paraId="65A92A40" w14:textId="77777777" w:rsidR="003F5C52" w:rsidRPr="00DE5FF7" w:rsidRDefault="003F5C52" w:rsidP="00867FC8">
      <w:pPr>
        <w:tabs>
          <w:tab w:val="left" w:pos="1652"/>
        </w:tabs>
        <w:spacing w:line="240" w:lineRule="auto"/>
        <w:jc w:val="center"/>
        <w:rPr>
          <w:rFonts w:asciiTheme="majorBidi" w:hAnsiTheme="majorBidi" w:cstheme="majorBidi"/>
          <w:b/>
          <w:bCs/>
          <w:sz w:val="32"/>
          <w:szCs w:val="32"/>
          <w:rtl/>
        </w:rPr>
      </w:pPr>
      <w:r w:rsidRPr="00DE5FF7">
        <w:rPr>
          <w:rFonts w:asciiTheme="majorBidi" w:hAnsiTheme="majorBidi" w:cstheme="majorBidi"/>
          <w:b/>
          <w:bCs/>
          <w:sz w:val="32"/>
          <w:szCs w:val="32"/>
          <w:rtl/>
        </w:rPr>
        <w:t>المطلب الثالث</w:t>
      </w:r>
    </w:p>
    <w:p w14:paraId="25C6B809" w14:textId="77777777" w:rsidR="003F5C52" w:rsidRPr="00DE5FF7" w:rsidRDefault="003F5C52" w:rsidP="00867FC8">
      <w:pPr>
        <w:tabs>
          <w:tab w:val="left" w:pos="1652"/>
        </w:tabs>
        <w:spacing w:line="240" w:lineRule="auto"/>
        <w:jc w:val="center"/>
        <w:rPr>
          <w:rFonts w:asciiTheme="majorBidi" w:eastAsia="Times New Roman" w:hAnsiTheme="majorBidi" w:cstheme="majorBidi"/>
          <w:b/>
          <w:bCs/>
          <w:sz w:val="32"/>
          <w:szCs w:val="32"/>
          <w:rtl/>
        </w:rPr>
      </w:pPr>
      <w:r w:rsidRPr="00DE5FF7">
        <w:rPr>
          <w:rFonts w:asciiTheme="majorBidi" w:eastAsia="Times New Roman" w:hAnsiTheme="majorBidi" w:cstheme="majorBidi"/>
          <w:b/>
          <w:bCs/>
          <w:sz w:val="32"/>
          <w:szCs w:val="32"/>
          <w:rtl/>
        </w:rPr>
        <w:t>آثار الدفع بعدم الاختصاص النوعي أمام المحاكم المدنية</w:t>
      </w:r>
    </w:p>
    <w:p w14:paraId="538F027E" w14:textId="77777777" w:rsidR="003F5C52" w:rsidRPr="00DE5FF7" w:rsidRDefault="003F5C52" w:rsidP="00DE5FF7">
      <w:pPr>
        <w:tabs>
          <w:tab w:val="left" w:pos="1652"/>
        </w:tabs>
        <w:rPr>
          <w:rFonts w:asciiTheme="majorBidi" w:hAnsiTheme="majorBidi" w:cstheme="majorBidi"/>
          <w:sz w:val="28"/>
          <w:rtl/>
        </w:rPr>
      </w:pPr>
      <w:r w:rsidRPr="00DE5FF7">
        <w:rPr>
          <w:rFonts w:asciiTheme="majorBidi" w:eastAsia="Times New Roman" w:hAnsiTheme="majorBidi" w:cstheme="majorBidi"/>
          <w:b/>
          <w:bCs/>
          <w:sz w:val="32"/>
          <w:szCs w:val="32"/>
          <w:rtl/>
        </w:rPr>
        <w:t xml:space="preserve"> </w:t>
      </w:r>
      <w:r w:rsidRPr="00DE5FF7">
        <w:rPr>
          <w:rFonts w:asciiTheme="majorBidi" w:hAnsiTheme="majorBidi" w:cstheme="majorBidi"/>
          <w:sz w:val="28"/>
          <w:rtl/>
        </w:rPr>
        <w:t xml:space="preserve">   للدفع بعدم الاختصاص النوعي أثران وهما : الإحالة ورفض الإحالة أو قبولها ، وهو ما قد ينتج عنهما من تنازع سلبي أو ايجابي في الاختصاص النوعي بين المحاكم . والأثر الآخر ، هو طرق الطعن المترتبة على قرار الإحالة أو رفضها وقبولها . لذا نقسم هذا المطلب على فرعين نتناول في الفرع الأول ، التنازع السلبي والايجابي في الاختصاص النوعي . وفي الفرع الثاني نتعرض الى طرق الطعن المترتبة على الدفع بعدم الاختصاص النوعي.</w:t>
      </w:r>
    </w:p>
    <w:p w14:paraId="305F71B8" w14:textId="77777777" w:rsidR="003F5C52" w:rsidRPr="00867FC8" w:rsidRDefault="003F5C52" w:rsidP="00867FC8">
      <w:pPr>
        <w:tabs>
          <w:tab w:val="left" w:pos="1652"/>
        </w:tabs>
        <w:spacing w:line="240" w:lineRule="auto"/>
        <w:jc w:val="center"/>
        <w:rPr>
          <w:rFonts w:asciiTheme="majorBidi" w:hAnsiTheme="majorBidi" w:cstheme="majorBidi"/>
          <w:b/>
          <w:bCs/>
          <w:sz w:val="28"/>
          <w:rtl/>
        </w:rPr>
      </w:pPr>
      <w:r w:rsidRPr="00867FC8">
        <w:rPr>
          <w:rFonts w:asciiTheme="majorBidi" w:hAnsiTheme="majorBidi" w:cstheme="majorBidi"/>
          <w:b/>
          <w:bCs/>
          <w:sz w:val="28"/>
          <w:rtl/>
        </w:rPr>
        <w:t>الفرع الأول</w:t>
      </w:r>
    </w:p>
    <w:p w14:paraId="589A606E" w14:textId="77777777" w:rsidR="003F5C52" w:rsidRPr="00867FC8" w:rsidRDefault="003F5C52" w:rsidP="00867FC8">
      <w:pPr>
        <w:tabs>
          <w:tab w:val="left" w:pos="1652"/>
        </w:tabs>
        <w:spacing w:line="240" w:lineRule="auto"/>
        <w:jc w:val="center"/>
        <w:rPr>
          <w:rFonts w:asciiTheme="majorBidi" w:eastAsia="Times New Roman" w:hAnsiTheme="majorBidi" w:cstheme="majorBidi"/>
          <w:b/>
          <w:bCs/>
          <w:sz w:val="28"/>
          <w:rtl/>
        </w:rPr>
      </w:pPr>
      <w:r w:rsidRPr="00867FC8">
        <w:rPr>
          <w:rFonts w:asciiTheme="majorBidi" w:eastAsia="Times New Roman" w:hAnsiTheme="majorBidi" w:cstheme="majorBidi"/>
          <w:b/>
          <w:bCs/>
          <w:sz w:val="28"/>
          <w:rtl/>
        </w:rPr>
        <w:t>التنازع السلبي والإيجابي في الاختصاص النوعي</w:t>
      </w:r>
    </w:p>
    <w:p w14:paraId="35724BD4" w14:textId="77777777" w:rsidR="003F5C52" w:rsidRPr="00867FC8" w:rsidRDefault="003F5C52" w:rsidP="00867FC8">
      <w:pPr>
        <w:tabs>
          <w:tab w:val="left" w:pos="1652"/>
        </w:tabs>
        <w:spacing w:line="240" w:lineRule="auto"/>
        <w:jc w:val="center"/>
        <w:rPr>
          <w:rFonts w:asciiTheme="majorBidi" w:hAnsiTheme="majorBidi" w:cstheme="majorBidi"/>
          <w:b/>
          <w:bCs/>
          <w:sz w:val="28"/>
          <w:rtl/>
        </w:rPr>
      </w:pPr>
      <w:r w:rsidRPr="00867FC8">
        <w:rPr>
          <w:rFonts w:asciiTheme="majorBidi" w:eastAsia="Times New Roman" w:hAnsiTheme="majorBidi" w:cstheme="majorBidi"/>
          <w:b/>
          <w:bCs/>
          <w:sz w:val="28"/>
          <w:rtl/>
        </w:rPr>
        <w:t xml:space="preserve"> بين المحاكم المدنية</w:t>
      </w:r>
    </w:p>
    <w:p w14:paraId="7CD3E51F" w14:textId="77777777" w:rsidR="003F5C52" w:rsidRPr="00DE5FF7" w:rsidRDefault="003F5C52" w:rsidP="00DE5FF7">
      <w:pPr>
        <w:tabs>
          <w:tab w:val="left" w:pos="1652"/>
        </w:tabs>
        <w:rPr>
          <w:rFonts w:asciiTheme="majorBidi" w:hAnsiTheme="majorBidi" w:cstheme="majorBidi"/>
          <w:sz w:val="28"/>
          <w:rtl/>
        </w:rPr>
      </w:pPr>
      <w:r w:rsidRPr="00DE5FF7">
        <w:rPr>
          <w:rFonts w:asciiTheme="majorBidi" w:hAnsiTheme="majorBidi" w:cstheme="majorBidi"/>
          <w:sz w:val="28"/>
          <w:rtl/>
        </w:rPr>
        <w:t xml:space="preserve">   تنازع الولاية نتيجة طبيعية لتعدد جهات القضاء في الدولة . إذ من الممكن تنازع هذه الجهات المتعددة حول قدر ولايتها ضيقاً ، أو اتساعاً . إذ قد تنكر كل جهة منها ولايتها بخصوص مسألة معينة ، أو تتمسك بولايتها بنظرها . وفي الحالة الأولى تكون المسألة بغير قاض ينظرها ، أما في الحالة الثانية تكون محلاً للحكم من أكثر من جهة واحدة . فكان لا بد من إيجاد طريق محدد لحل مثل هذا التنازع تجنباً لمثل هذه النتائج . وأن يختلف هذا الطريق في تنظيمه عن طريق الطعن في الحكم ، حتى يكون لكل طرف الحق في طلب رفع هذا التنازع ، ولو كان خصماً محكوماً له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61"/>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w:t>
      </w:r>
    </w:p>
    <w:p w14:paraId="6809BFAF"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t xml:space="preserve">   لا يأخذ التنازع بشأن الولاية صورة واحدة ، وإنما تتعدد صوره ، فقد يكون إيجابياً وقد يكون سلبياً ، وقد يكون يتمثل في صدور أحكام متعارضة من جهتي قضاء مختلفتين ، وأن هذه الصورة الأخيرة لا تمثل صورة مستقلة للتنازع قائمة بذاتها ، وإنما هي مجرد تطبيق من تطبيقات التنازع الايجابي . لذا نبين هاتين الصورتين وفق ما يلي :-</w:t>
      </w:r>
    </w:p>
    <w:p w14:paraId="590B8C4B" w14:textId="77777777" w:rsidR="003F5C52" w:rsidRPr="00DE5FF7" w:rsidRDefault="003F5C52" w:rsidP="00DE5FF7">
      <w:pPr>
        <w:tabs>
          <w:tab w:val="left" w:pos="1652"/>
        </w:tabs>
        <w:jc w:val="both"/>
        <w:rPr>
          <w:rFonts w:asciiTheme="majorBidi" w:hAnsiTheme="majorBidi" w:cstheme="majorBidi"/>
          <w:b/>
          <w:bCs/>
          <w:sz w:val="28"/>
          <w:rtl/>
        </w:rPr>
      </w:pPr>
      <w:r w:rsidRPr="00DE5FF7">
        <w:rPr>
          <w:rFonts w:asciiTheme="majorBidi" w:hAnsiTheme="majorBidi" w:cstheme="majorBidi"/>
          <w:b/>
          <w:bCs/>
          <w:sz w:val="28"/>
          <w:rtl/>
        </w:rPr>
        <w:t>الصورة الأولى : التنازع السلبي :-</w:t>
      </w:r>
    </w:p>
    <w:p w14:paraId="2B11EC6B"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lastRenderedPageBreak/>
        <w:t xml:space="preserve">   وتتحقق هذه الصورة في حالة ما اذا رفعت دعوى واحدة أمام جهتي قضاء ، وتخلت كلتاهما عن ولايتها بنظر هذه الدعوى ، بأن قضت كل منهما بانتفاء ولايتها بشأنها ، لتصبح الدعوى هكذا بغير قاض ينظرها</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62"/>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وتطبيقات القضاء العراقي كثيرة بشأن التنازع السلبي بين المحاكم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63"/>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69A7902C" w14:textId="77777777" w:rsidR="003F5C52" w:rsidRPr="00DE5FF7" w:rsidRDefault="003F5C52" w:rsidP="00DE5FF7">
      <w:pPr>
        <w:tabs>
          <w:tab w:val="left" w:pos="1652"/>
        </w:tabs>
        <w:jc w:val="both"/>
        <w:rPr>
          <w:rFonts w:asciiTheme="majorBidi" w:hAnsiTheme="majorBidi" w:cstheme="majorBidi"/>
          <w:b/>
          <w:bCs/>
          <w:sz w:val="28"/>
          <w:rtl/>
        </w:rPr>
      </w:pPr>
      <w:r w:rsidRPr="00DE5FF7">
        <w:rPr>
          <w:rFonts w:asciiTheme="majorBidi" w:hAnsiTheme="majorBidi" w:cstheme="majorBidi"/>
          <w:b/>
          <w:bCs/>
          <w:sz w:val="28"/>
          <w:rtl/>
        </w:rPr>
        <w:t>الصورة الثانية : التنازع الايجابي :-</w:t>
      </w:r>
    </w:p>
    <w:p w14:paraId="5C52D6E0" w14:textId="77777777" w:rsidR="003F5C52" w:rsidRPr="00DE5FF7" w:rsidRDefault="003F5C52" w:rsidP="00DE5FF7">
      <w:pPr>
        <w:tabs>
          <w:tab w:val="left" w:pos="1652"/>
        </w:tabs>
        <w:rPr>
          <w:rFonts w:asciiTheme="majorBidi" w:hAnsiTheme="majorBidi" w:cstheme="majorBidi"/>
          <w:sz w:val="28"/>
          <w:rtl/>
        </w:rPr>
      </w:pPr>
      <w:r w:rsidRPr="00DE5FF7">
        <w:rPr>
          <w:rFonts w:asciiTheme="majorBidi" w:hAnsiTheme="majorBidi" w:cstheme="majorBidi"/>
          <w:sz w:val="28"/>
          <w:rtl/>
        </w:rPr>
        <w:t xml:space="preserve">   وصورته أن تتمسك جهتان للقضاء بولايتها بنظر دعوى واحدة ، ويشترط لقيام هذه الصورة ما يلي :-</w:t>
      </w:r>
    </w:p>
    <w:p w14:paraId="710A48FB" w14:textId="77777777" w:rsidR="003F5C52" w:rsidRPr="00DE5FF7" w:rsidRDefault="003F5C52" w:rsidP="00DE5FF7">
      <w:pPr>
        <w:tabs>
          <w:tab w:val="left" w:pos="1652"/>
        </w:tabs>
        <w:jc w:val="both"/>
        <w:rPr>
          <w:rFonts w:asciiTheme="majorBidi" w:hAnsiTheme="majorBidi" w:cstheme="majorBidi"/>
          <w:b/>
          <w:bCs/>
          <w:sz w:val="28"/>
          <w:rtl/>
        </w:rPr>
      </w:pPr>
      <w:r w:rsidRPr="00DE5FF7">
        <w:rPr>
          <w:rFonts w:asciiTheme="majorBidi" w:hAnsiTheme="majorBidi" w:cstheme="majorBidi"/>
          <w:b/>
          <w:bCs/>
          <w:sz w:val="28"/>
          <w:rtl/>
        </w:rPr>
        <w:t>أولاً : أن تكون الدعوى الواحدة مرفوعة أمام جهتين مختلفتين للقضاء في الدولة .</w:t>
      </w:r>
    </w:p>
    <w:p w14:paraId="0EE4E5DA" w14:textId="0C83575F" w:rsidR="003F5C52" w:rsidRPr="00DE5FF7" w:rsidRDefault="003F5C52" w:rsidP="00867FC8">
      <w:pPr>
        <w:tabs>
          <w:tab w:val="left" w:pos="1652"/>
        </w:tabs>
        <w:jc w:val="both"/>
        <w:rPr>
          <w:rFonts w:asciiTheme="majorBidi" w:hAnsiTheme="majorBidi" w:cstheme="majorBidi"/>
          <w:sz w:val="28"/>
          <w:rtl/>
        </w:rPr>
      </w:pPr>
      <w:r w:rsidRPr="00DE5FF7">
        <w:rPr>
          <w:rFonts w:asciiTheme="majorBidi" w:hAnsiTheme="majorBidi" w:cstheme="majorBidi"/>
          <w:b/>
          <w:bCs/>
          <w:sz w:val="28"/>
          <w:rtl/>
        </w:rPr>
        <w:t>ثانياً : أن تتمسك كلا الجهتين بولايتها بنظر الدعوى .</w:t>
      </w:r>
      <w:r w:rsidRPr="00DE5FF7">
        <w:rPr>
          <w:rFonts w:asciiTheme="majorBidi" w:hAnsiTheme="majorBidi" w:cstheme="majorBidi"/>
          <w:sz w:val="28"/>
          <w:rtl/>
        </w:rPr>
        <w:t xml:space="preserve"> أي بمعنى أن تكون كل جهة قد قضت بولايتها بنظر الدعوى في دفع قدم إليها بانتفاء ولايتها ، فإذا قدم بذلك إلى جهة منها وقضت بعدم قبوله ، ولم يكن هذا الدفع قد قدم إلى الجهة الأخرى ، أو كان قد قدم إليها ، ولكنها لم تفصل فيه بعد ، فلا نكون أمام تنازع ايجابي بشأن الولاية . إذ قد تقضي الجهة الأخرى في الدفع على نحو يتفق مع الحكم الصادر من الجهة السابقة </w:t>
      </w:r>
      <w:r w:rsidRPr="00DE5FF7">
        <w:rPr>
          <w:rFonts w:asciiTheme="majorBidi" w:hAnsiTheme="majorBidi" w:cstheme="majorBidi"/>
          <w:sz w:val="24"/>
          <w:szCs w:val="24"/>
          <w:vertAlign w:val="superscript"/>
          <w:rtl/>
        </w:rPr>
        <w:t>(</w:t>
      </w:r>
      <w:r w:rsidRPr="00DE5FF7">
        <w:rPr>
          <w:rStyle w:val="FootnoteReference"/>
          <w:rFonts w:asciiTheme="majorBidi" w:hAnsiTheme="majorBidi" w:cstheme="majorBidi"/>
          <w:sz w:val="24"/>
          <w:szCs w:val="24"/>
          <w:rtl/>
        </w:rPr>
        <w:footnoteReference w:id="64"/>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w:t>
      </w:r>
    </w:p>
    <w:p w14:paraId="7E529763" w14:textId="77777777" w:rsidR="003F5C52" w:rsidRPr="00DE5FF7" w:rsidRDefault="003F5C52" w:rsidP="00867FC8">
      <w:pPr>
        <w:tabs>
          <w:tab w:val="left" w:pos="1652"/>
        </w:tabs>
        <w:spacing w:line="240" w:lineRule="auto"/>
        <w:jc w:val="center"/>
        <w:rPr>
          <w:rFonts w:asciiTheme="majorBidi" w:hAnsiTheme="majorBidi" w:cstheme="majorBidi"/>
          <w:b/>
          <w:bCs/>
          <w:sz w:val="32"/>
          <w:szCs w:val="32"/>
          <w:rtl/>
        </w:rPr>
      </w:pPr>
      <w:r w:rsidRPr="00DE5FF7">
        <w:rPr>
          <w:rFonts w:asciiTheme="majorBidi" w:hAnsiTheme="majorBidi" w:cstheme="majorBidi"/>
          <w:b/>
          <w:bCs/>
          <w:sz w:val="32"/>
          <w:szCs w:val="32"/>
          <w:rtl/>
        </w:rPr>
        <w:t>الفرع الثاني</w:t>
      </w:r>
    </w:p>
    <w:p w14:paraId="41869DD6" w14:textId="77777777" w:rsidR="003F5C52" w:rsidRPr="00DE5FF7" w:rsidRDefault="003F5C52" w:rsidP="00867FC8">
      <w:pPr>
        <w:tabs>
          <w:tab w:val="left" w:pos="1652"/>
        </w:tabs>
        <w:spacing w:line="240" w:lineRule="auto"/>
        <w:jc w:val="center"/>
        <w:rPr>
          <w:rFonts w:asciiTheme="majorBidi" w:eastAsia="Times New Roman" w:hAnsiTheme="majorBidi" w:cstheme="majorBidi"/>
          <w:b/>
          <w:bCs/>
          <w:sz w:val="32"/>
          <w:szCs w:val="32"/>
          <w:rtl/>
        </w:rPr>
      </w:pPr>
      <w:r w:rsidRPr="00DE5FF7">
        <w:rPr>
          <w:rFonts w:asciiTheme="majorBidi" w:eastAsia="Times New Roman" w:hAnsiTheme="majorBidi" w:cstheme="majorBidi"/>
          <w:b/>
          <w:bCs/>
          <w:sz w:val="32"/>
          <w:szCs w:val="32"/>
          <w:rtl/>
        </w:rPr>
        <w:t>طرق الطعن  المترتبة على الدفع بعدم الاختصاص النوعي</w:t>
      </w:r>
    </w:p>
    <w:p w14:paraId="6461F1BB"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t xml:space="preserve">   إذا صدر الدفع بعدم اختصاص المحكمة النوعي من أحد الخصوم ، فإننا نكون أمام حالتين ، هما : حالة الاستجابة لطلب الإحالة ، وعندها تقرر المحكمة إحالة الدعوى إلى المحكمة التي ترى أنها مختصة بنظرها ، وهنا تخرج الدعوى من نظر المحكمة المحيلة إلى المحكمة المحال إليها الدعوى . أو حالة رفض طلب الإحالة ، والتمسك بنظر الدعوى . فأي من القرارين في مثل هذه الحالة يقبل الطعن به تمييزاً ؟ .</w:t>
      </w:r>
    </w:p>
    <w:p w14:paraId="1C838EB8" w14:textId="77777777" w:rsidR="003F5C52" w:rsidRPr="00DE5FF7" w:rsidRDefault="003F5C52" w:rsidP="00DE5FF7">
      <w:pPr>
        <w:tabs>
          <w:tab w:val="left" w:pos="1652"/>
        </w:tabs>
        <w:jc w:val="both"/>
        <w:rPr>
          <w:rFonts w:asciiTheme="majorBidi" w:hAnsiTheme="majorBidi" w:cstheme="majorBidi"/>
          <w:sz w:val="28"/>
          <w:rtl/>
        </w:rPr>
      </w:pPr>
      <w:r w:rsidRPr="00DE5FF7">
        <w:rPr>
          <w:rFonts w:asciiTheme="majorBidi" w:hAnsiTheme="majorBidi" w:cstheme="majorBidi"/>
          <w:sz w:val="28"/>
          <w:rtl/>
        </w:rPr>
        <w:lastRenderedPageBreak/>
        <w:t xml:space="preserve">   إنّ قرار الإحالة لعدم الاختصاص النوعي لا يقبل الطعن به تمييزاً على </w:t>
      </w:r>
      <w:proofErr w:type="spellStart"/>
      <w:r w:rsidRPr="00DE5FF7">
        <w:rPr>
          <w:rFonts w:asciiTheme="majorBidi" w:hAnsiTheme="majorBidi" w:cstheme="majorBidi"/>
          <w:sz w:val="28"/>
          <w:rtl/>
        </w:rPr>
        <w:t>إنفراد</w:t>
      </w:r>
      <w:proofErr w:type="spellEnd"/>
      <w:r w:rsidRPr="00DE5FF7">
        <w:rPr>
          <w:rFonts w:asciiTheme="majorBidi" w:hAnsiTheme="majorBidi" w:cstheme="majorBidi"/>
          <w:sz w:val="28"/>
          <w:rtl/>
        </w:rPr>
        <w:t xml:space="preserve">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65"/>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اذا صدر هذا القرار من المحكمة المحيلة ؛ لعدم النص على جواز ذلك . ولكنه ، من الممكن للخصم الخاسر للحكم ، الطعن بقرار الإحالة في هذه الحالة ، بعد صدور حكم حاسم في الدعوى من قرار المحكمة المحال إليها الدعوى ، وفق طرق الطعن الاعتيادية ، مع جملة الأسباب المراد الطعن بها .</w:t>
      </w:r>
    </w:p>
    <w:p w14:paraId="7E06DF03" w14:textId="77777777" w:rsidR="003F5C52" w:rsidRPr="00DE5FF7" w:rsidRDefault="003F5C52" w:rsidP="00DE5FF7">
      <w:pPr>
        <w:jc w:val="both"/>
        <w:rPr>
          <w:rFonts w:asciiTheme="majorBidi" w:hAnsiTheme="majorBidi" w:cstheme="majorBidi"/>
          <w:sz w:val="28"/>
          <w:rtl/>
        </w:rPr>
      </w:pPr>
      <w:r w:rsidRPr="00DE5FF7">
        <w:rPr>
          <w:rFonts w:asciiTheme="majorBidi" w:hAnsiTheme="majorBidi" w:cstheme="majorBidi"/>
          <w:sz w:val="28"/>
          <w:rtl/>
        </w:rPr>
        <w:t xml:space="preserve">أما بشأن قرار رفض الإحالة لعدم الاختصاص النوعي الصادر من المحكمة التي أقيمت الدعوى لديها ابتداءً ، فإنه لا يقبل الطعن به تمييزاً على </w:t>
      </w:r>
      <w:proofErr w:type="spellStart"/>
      <w:r w:rsidRPr="00DE5FF7">
        <w:rPr>
          <w:rFonts w:asciiTheme="majorBidi" w:hAnsiTheme="majorBidi" w:cstheme="majorBidi"/>
          <w:sz w:val="28"/>
          <w:rtl/>
        </w:rPr>
        <w:t>إنفراد</w:t>
      </w:r>
      <w:proofErr w:type="spellEnd"/>
      <w:r w:rsidRPr="00DE5FF7">
        <w:rPr>
          <w:rFonts w:asciiTheme="majorBidi" w:hAnsiTheme="majorBidi" w:cstheme="majorBidi"/>
          <w:sz w:val="28"/>
          <w:rtl/>
        </w:rPr>
        <w:t xml:space="preserve"> ، لأن القانون لم يتضمن مثل هذا الحق للخصوم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66"/>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 أما بخصوص قرار رفض الإحالة الذي يصدر من المحكمة المحال إليها الدعوى ، فإن القانون قد نص على جوازه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67"/>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الطعن به . لذلك ، فإن  قرار رفض الإحالة القابل للطعن تمييزاً ، هو الذي تصدره المحكمة التي أحيلت إليها الدعوى ، وليس قرار رفض طلب أحد الخصوم بالإحالة إلى محكمة أخرى ، وهذا ما تؤيده التطبيقات القضائية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68"/>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استناداً لأحكام المادة (79) من قانون المرافعات المدنية . إلا أنه تذهب بعض من قرارات محكمة التمييز ، إلى عدم جواز تمييز قرار رفض الإحالة الصادر من المحكمة المحال إليها الدعوى ، استناداً لأحكام المادة (216) من قانون المرافعات المدنية.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69"/>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w:t>
      </w:r>
    </w:p>
    <w:p w14:paraId="36CDF76B" w14:textId="7FAEFFEE" w:rsidR="00C81585" w:rsidRPr="00DE5FF7" w:rsidRDefault="003F5C52" w:rsidP="00C81585">
      <w:pPr>
        <w:tabs>
          <w:tab w:val="left" w:pos="1652"/>
        </w:tabs>
        <w:jc w:val="both"/>
        <w:rPr>
          <w:rFonts w:asciiTheme="majorBidi" w:hAnsiTheme="majorBidi" w:cstheme="majorBidi"/>
          <w:sz w:val="28"/>
          <w:rtl/>
        </w:rPr>
      </w:pPr>
      <w:r w:rsidRPr="00DE5FF7">
        <w:rPr>
          <w:rFonts w:asciiTheme="majorBidi" w:hAnsiTheme="majorBidi" w:cstheme="majorBidi"/>
          <w:sz w:val="28"/>
          <w:rtl/>
        </w:rPr>
        <w:t xml:space="preserve">   أما إذا لم يتم الطعن تمييزاً بقرار رفض الإحالة الصادر من المحكمة المحال إليها الدعوى ، فيتوجب على المحكمة التي أحالت الدعوى ابتداءً عند ورود الدعوى إليها ، أن تقرر عرض الدعوى على محكمة التمييز الاتحادية لتحديد المحكمة المختصة نوعياً بنظرها </w:t>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vertAlign w:val="superscript"/>
          <w:rtl/>
        </w:rPr>
        <w:footnoteReference w:id="70"/>
      </w:r>
      <w:r w:rsidRPr="00DE5FF7">
        <w:rPr>
          <w:rFonts w:asciiTheme="majorBidi" w:hAnsiTheme="majorBidi" w:cstheme="majorBidi"/>
          <w:sz w:val="24"/>
          <w:szCs w:val="24"/>
          <w:vertAlign w:val="superscript"/>
          <w:rtl/>
        </w:rPr>
        <w:t>)</w:t>
      </w:r>
      <w:r w:rsidRPr="00DE5FF7">
        <w:rPr>
          <w:rFonts w:asciiTheme="majorBidi" w:hAnsiTheme="majorBidi" w:cstheme="majorBidi"/>
          <w:sz w:val="28"/>
          <w:rtl/>
        </w:rPr>
        <w:t xml:space="preserve">. وهذا يعني أنه حتى اذا لم يتم الطعن تمييزاً </w:t>
      </w:r>
      <w:r w:rsidRPr="00DE5FF7">
        <w:rPr>
          <w:rFonts w:asciiTheme="majorBidi" w:hAnsiTheme="majorBidi" w:cstheme="majorBidi"/>
          <w:sz w:val="28"/>
          <w:rtl/>
        </w:rPr>
        <w:lastRenderedPageBreak/>
        <w:t>بقرار رفض الإحالة الصادر من المحكمة المحال إليها الدعوى من الخصوم ، فإنه يتوجب على هذه المحكمة الأخيرة إعادة الدعوى إلى المحكمة المحيلة . وعلى المحكمة المحيلة عرض هذا التنازع السلبي في الاختصاص على محكمة التمييز لتحديد المحكمة المختصة بنظر الدعوى .</w:t>
      </w:r>
    </w:p>
    <w:p w14:paraId="0EC6A03F" w14:textId="77777777" w:rsidR="003F5C52" w:rsidRPr="00867FC8" w:rsidRDefault="003F5C52" w:rsidP="00DE5FF7">
      <w:pPr>
        <w:tabs>
          <w:tab w:val="left" w:pos="1652"/>
        </w:tabs>
        <w:jc w:val="center"/>
        <w:rPr>
          <w:rFonts w:asciiTheme="majorBidi" w:hAnsiTheme="majorBidi" w:cstheme="majorBidi"/>
          <w:b/>
          <w:bCs/>
          <w:sz w:val="32"/>
          <w:szCs w:val="32"/>
          <w:rtl/>
        </w:rPr>
      </w:pPr>
      <w:r w:rsidRPr="00867FC8">
        <w:rPr>
          <w:rFonts w:asciiTheme="majorBidi" w:hAnsiTheme="majorBidi" w:cstheme="majorBidi"/>
          <w:b/>
          <w:bCs/>
          <w:sz w:val="32"/>
          <w:szCs w:val="32"/>
          <w:rtl/>
        </w:rPr>
        <w:t>الخاتمة</w:t>
      </w:r>
    </w:p>
    <w:p w14:paraId="74FE48B5" w14:textId="0A7C3756" w:rsidR="003F5C52" w:rsidRPr="00DE5FF7" w:rsidRDefault="003F5C52" w:rsidP="00DE5FF7">
      <w:pPr>
        <w:tabs>
          <w:tab w:val="left" w:pos="1652"/>
        </w:tabs>
        <w:rPr>
          <w:rFonts w:asciiTheme="majorBidi" w:hAnsiTheme="majorBidi" w:cstheme="majorBidi"/>
          <w:b/>
          <w:bCs/>
          <w:sz w:val="28"/>
          <w:rtl/>
        </w:rPr>
      </w:pPr>
      <w:r w:rsidRPr="00DE5FF7">
        <w:rPr>
          <w:rFonts w:asciiTheme="majorBidi" w:hAnsiTheme="majorBidi" w:cstheme="majorBidi"/>
          <w:b/>
          <w:bCs/>
          <w:sz w:val="28"/>
          <w:rtl/>
        </w:rPr>
        <w:t>النتائج :</w:t>
      </w:r>
    </w:p>
    <w:p w14:paraId="5A382DF4" w14:textId="77777777" w:rsidR="003F5C52" w:rsidRPr="00DE5FF7" w:rsidRDefault="003F5C52" w:rsidP="00DE5FF7">
      <w:pPr>
        <w:numPr>
          <w:ilvl w:val="0"/>
          <w:numId w:val="42"/>
        </w:numPr>
        <w:tabs>
          <w:tab w:val="left" w:pos="1652"/>
        </w:tabs>
        <w:spacing w:after="200"/>
        <w:jc w:val="both"/>
        <w:rPr>
          <w:rFonts w:asciiTheme="majorBidi" w:hAnsiTheme="majorBidi" w:cstheme="majorBidi"/>
          <w:sz w:val="28"/>
          <w:rtl/>
        </w:rPr>
      </w:pPr>
      <w:r w:rsidRPr="00DE5FF7">
        <w:rPr>
          <w:rFonts w:asciiTheme="majorBidi" w:hAnsiTheme="majorBidi" w:cstheme="majorBidi"/>
          <w:sz w:val="28"/>
          <w:rtl/>
        </w:rPr>
        <w:t>اتضح لنا بأن الدفع بعدم الاختصاص النوعي هو وسيلة قانونية يدفع بها أحد أطراف الدعوى، للطعن في صلاحية المحكمة لنظر الدعوى من حيث نوعها، أي ما إذا كانت من اختصاص المحاكم المدنية أو الجزائية أو الإدارية أو غيرها، ويُعد من الدفوع الشكلية المتعلقة بالنظام العام، ويجب على المحكمة أن تثيره من تلقاء نفسها إذا لم يُبدِه الخصوم.</w:t>
      </w:r>
    </w:p>
    <w:p w14:paraId="3847E08D" w14:textId="77777777" w:rsidR="003F5C52" w:rsidRPr="00DE5FF7" w:rsidRDefault="003F5C52" w:rsidP="00DE5FF7">
      <w:pPr>
        <w:numPr>
          <w:ilvl w:val="0"/>
          <w:numId w:val="42"/>
        </w:numPr>
        <w:tabs>
          <w:tab w:val="left" w:pos="1652"/>
        </w:tabs>
        <w:spacing w:after="200"/>
        <w:jc w:val="both"/>
        <w:rPr>
          <w:rFonts w:asciiTheme="majorBidi" w:hAnsiTheme="majorBidi" w:cstheme="majorBidi"/>
          <w:sz w:val="28"/>
          <w:rtl/>
        </w:rPr>
      </w:pPr>
      <w:r w:rsidRPr="00DE5FF7">
        <w:rPr>
          <w:rFonts w:asciiTheme="majorBidi" w:hAnsiTheme="majorBidi" w:cstheme="majorBidi"/>
          <w:sz w:val="28"/>
          <w:rtl/>
        </w:rPr>
        <w:t>تمييز الدفع بعدم الاختصاص النوعي عن  الدفع بعدم الاختصاص المكاني (المحلي) الاختصاص النوعي يتعلق بطبيعة الدعوى ونوع المحكمة المختصة بها أما الاختصاص المكاني يتعلق بمكان المحكمة المختصة، أي محكمة من حيث الموقع الجغرافي. النوعي يتعلق بالنظام العام ولا يجوز الاتفاق على مخالفته، بينما المكاني ليس من النظام العام ويجوز الاتفاق على تغييره.  الفرق بينه وبين الدفع بعدم قبول الدعوى الدفع بعدم الاختصاص النوعي يطعن في سلطة المحكمة النوعية بنظر الدعوى، الدفع بعدم القبول يطعن في الحق في تحريك الدعوى ابتداءً لغياب شروطها الشكلية أو الموضوعية، مثل انعدام الصفة أو المصلحة أو سبق الفصل فيها.</w:t>
      </w:r>
    </w:p>
    <w:p w14:paraId="63FC5506" w14:textId="67FCA0A1" w:rsidR="003F5C52" w:rsidRPr="00DE5FF7" w:rsidRDefault="003F5C52" w:rsidP="00DE5FF7">
      <w:pPr>
        <w:numPr>
          <w:ilvl w:val="0"/>
          <w:numId w:val="42"/>
        </w:numPr>
        <w:tabs>
          <w:tab w:val="left" w:pos="1652"/>
        </w:tabs>
        <w:spacing w:after="200"/>
        <w:jc w:val="both"/>
        <w:rPr>
          <w:rFonts w:asciiTheme="majorBidi" w:hAnsiTheme="majorBidi" w:cstheme="majorBidi"/>
          <w:b/>
          <w:bCs/>
          <w:sz w:val="28"/>
        </w:rPr>
      </w:pPr>
      <w:r w:rsidRPr="00DE5FF7">
        <w:rPr>
          <w:rFonts w:asciiTheme="majorBidi" w:hAnsiTheme="majorBidi" w:cstheme="majorBidi"/>
          <w:sz w:val="28"/>
          <w:rtl/>
        </w:rPr>
        <w:t>في الدفع بعدم الاختصاص النوعي ، يتوجب على المحكمة التي إحالة الدعوى ابتداءً عند ورود الدعوى إليها ، أن تقرر عرض الدعوى على محكمة التمييز الاتحادية لتحديد المحكمة المختصة نوعياً بنظرها</w:t>
      </w:r>
      <w:r w:rsidRPr="00DE5FF7">
        <w:rPr>
          <w:rFonts w:asciiTheme="majorBidi" w:hAnsiTheme="majorBidi" w:cstheme="majorBidi"/>
          <w:b/>
          <w:bCs/>
          <w:sz w:val="28"/>
          <w:rtl/>
        </w:rPr>
        <w:t xml:space="preserve"> </w:t>
      </w:r>
      <w:r w:rsidRPr="00DE5FF7">
        <w:rPr>
          <w:rFonts w:asciiTheme="majorBidi" w:hAnsiTheme="majorBidi" w:cstheme="majorBidi"/>
          <w:sz w:val="28"/>
          <w:rtl/>
        </w:rPr>
        <w:t>، وذلك لفك مسألة التنازع السلبي في الاختصاص النوعي بين المحكمة المحيلة والمحكمة المحال عليها الدعوى ، وهو أمر يتطلب وقت وجهد.</w:t>
      </w:r>
    </w:p>
    <w:p w14:paraId="1A409B90" w14:textId="544C1645" w:rsidR="00C81585" w:rsidRPr="00DE5FF7" w:rsidRDefault="003F5C52" w:rsidP="00C81585">
      <w:pPr>
        <w:tabs>
          <w:tab w:val="left" w:pos="1652"/>
        </w:tabs>
        <w:rPr>
          <w:rFonts w:asciiTheme="majorBidi" w:hAnsiTheme="majorBidi" w:cstheme="majorBidi"/>
          <w:b/>
          <w:bCs/>
          <w:sz w:val="28"/>
        </w:rPr>
      </w:pPr>
      <w:r w:rsidRPr="00DE5FF7">
        <w:rPr>
          <w:rFonts w:asciiTheme="majorBidi" w:hAnsiTheme="majorBidi" w:cstheme="majorBidi"/>
          <w:b/>
          <w:bCs/>
          <w:sz w:val="28"/>
          <w:rtl/>
        </w:rPr>
        <w:t xml:space="preserve">التوصيات </w:t>
      </w:r>
      <w:r w:rsidR="00C81585">
        <w:rPr>
          <w:rFonts w:asciiTheme="majorBidi" w:hAnsiTheme="majorBidi" w:cstheme="majorBidi" w:hint="cs"/>
          <w:b/>
          <w:bCs/>
          <w:sz w:val="28"/>
          <w:rtl/>
        </w:rPr>
        <w:t>:</w:t>
      </w:r>
    </w:p>
    <w:p w14:paraId="3337CE4A" w14:textId="77777777" w:rsidR="003F5C52" w:rsidRPr="00DE5FF7" w:rsidRDefault="003F5C52" w:rsidP="00DE5FF7">
      <w:pPr>
        <w:numPr>
          <w:ilvl w:val="0"/>
          <w:numId w:val="43"/>
        </w:numPr>
        <w:tabs>
          <w:tab w:val="left" w:pos="1652"/>
        </w:tabs>
        <w:spacing w:after="200"/>
        <w:jc w:val="both"/>
        <w:rPr>
          <w:rFonts w:asciiTheme="majorBidi" w:hAnsiTheme="majorBidi" w:cstheme="majorBidi"/>
          <w:sz w:val="28"/>
          <w:rtl/>
        </w:rPr>
      </w:pPr>
      <w:r w:rsidRPr="00DE5FF7">
        <w:rPr>
          <w:rFonts w:asciiTheme="majorBidi" w:hAnsiTheme="majorBidi" w:cstheme="majorBidi"/>
          <w:sz w:val="28"/>
          <w:rtl/>
        </w:rPr>
        <w:t>ضرورة توعية الخصوم والكوادر القانونية بأهمية الدفع بعدم الاختصاص النوعي وآثاره، لما له من دور حاسم في الحفاظ على حسن سير العدالة وضمان نظر الدعوى أمام المحكمة المختصة قانونًا، مما يجنّب إبطال الأحكام أو إطالة أمد التقاضي.</w:t>
      </w:r>
    </w:p>
    <w:p w14:paraId="7EF1A992" w14:textId="77777777" w:rsidR="003F5C52" w:rsidRPr="00DE5FF7" w:rsidRDefault="003F5C52" w:rsidP="00DE5FF7">
      <w:pPr>
        <w:numPr>
          <w:ilvl w:val="0"/>
          <w:numId w:val="43"/>
        </w:numPr>
        <w:tabs>
          <w:tab w:val="left" w:pos="1652"/>
        </w:tabs>
        <w:spacing w:after="200"/>
        <w:jc w:val="both"/>
        <w:rPr>
          <w:rFonts w:asciiTheme="majorBidi" w:hAnsiTheme="majorBidi" w:cstheme="majorBidi"/>
          <w:sz w:val="28"/>
        </w:rPr>
      </w:pPr>
      <w:r w:rsidRPr="00DE5FF7">
        <w:rPr>
          <w:rFonts w:asciiTheme="majorBidi" w:hAnsiTheme="majorBidi" w:cstheme="majorBidi"/>
          <w:sz w:val="28"/>
          <w:rtl/>
        </w:rPr>
        <w:lastRenderedPageBreak/>
        <w:t>وجوب التزام القضاة بإثارة الدفع بعدم الاختصاص النوعي من تلقاء أنفسهم، باعتباره من النظام العام، وذلك تحقيقًا لمبدأ المشروعية وضمان عدم تجاوز المحكمة لاختصاصها المحدد قانونًا.</w:t>
      </w:r>
    </w:p>
    <w:p w14:paraId="18034B30" w14:textId="77777777" w:rsidR="003F5C52" w:rsidRPr="00DE5FF7" w:rsidRDefault="003F5C52" w:rsidP="00DE5FF7">
      <w:pPr>
        <w:numPr>
          <w:ilvl w:val="0"/>
          <w:numId w:val="43"/>
        </w:numPr>
        <w:tabs>
          <w:tab w:val="left" w:pos="1652"/>
        </w:tabs>
        <w:spacing w:after="200"/>
        <w:jc w:val="both"/>
        <w:rPr>
          <w:rFonts w:asciiTheme="majorBidi" w:hAnsiTheme="majorBidi" w:cstheme="majorBidi"/>
          <w:sz w:val="28"/>
        </w:rPr>
      </w:pPr>
      <w:r w:rsidRPr="00DE5FF7">
        <w:rPr>
          <w:rFonts w:asciiTheme="majorBidi" w:hAnsiTheme="majorBidi" w:cstheme="majorBidi"/>
          <w:sz w:val="28"/>
          <w:rtl/>
        </w:rPr>
        <w:t>ضرورة التوسع في إنشاء محاكم متخصصة وتدقيق الحدود الموضوعية لاختصاص كل محكمة بما يقلل حالات التداخل والخلط في الاختصاص النوعي .</w:t>
      </w:r>
    </w:p>
    <w:p w14:paraId="516841BC" w14:textId="77777777" w:rsidR="003F5C52" w:rsidRPr="00DE5FF7" w:rsidRDefault="003F5C52" w:rsidP="00DE5FF7">
      <w:pPr>
        <w:numPr>
          <w:ilvl w:val="0"/>
          <w:numId w:val="43"/>
        </w:numPr>
        <w:tabs>
          <w:tab w:val="left" w:pos="1652"/>
        </w:tabs>
        <w:spacing w:after="200"/>
        <w:jc w:val="both"/>
        <w:rPr>
          <w:rFonts w:asciiTheme="majorBidi" w:hAnsiTheme="majorBidi" w:cstheme="majorBidi"/>
          <w:sz w:val="28"/>
        </w:rPr>
      </w:pPr>
      <w:r w:rsidRPr="00DE5FF7">
        <w:rPr>
          <w:rFonts w:asciiTheme="majorBidi" w:hAnsiTheme="majorBidi" w:cstheme="majorBidi"/>
          <w:sz w:val="28"/>
          <w:rtl/>
        </w:rPr>
        <w:t>ضرورة أن تكثف محكمة التمييز وممارسة دورها في رسم الخطوط الفاصلة بين الاختصاصات النوعية للمحاكم، وأن تصدر مبادئ قضائية واضحة وملزمة .</w:t>
      </w:r>
    </w:p>
    <w:p w14:paraId="7BC76FDE" w14:textId="2DA20CF6" w:rsidR="003F5C52" w:rsidRDefault="003F5C52" w:rsidP="00867FC8">
      <w:pPr>
        <w:numPr>
          <w:ilvl w:val="0"/>
          <w:numId w:val="43"/>
        </w:numPr>
        <w:tabs>
          <w:tab w:val="left" w:pos="1652"/>
        </w:tabs>
        <w:spacing w:after="200"/>
        <w:jc w:val="both"/>
        <w:rPr>
          <w:rFonts w:asciiTheme="majorBidi" w:hAnsiTheme="majorBidi" w:cstheme="majorBidi"/>
          <w:sz w:val="28"/>
        </w:rPr>
      </w:pPr>
      <w:r w:rsidRPr="00DE5FF7">
        <w:rPr>
          <w:rFonts w:asciiTheme="majorBidi" w:hAnsiTheme="majorBidi" w:cstheme="majorBidi"/>
          <w:sz w:val="28"/>
          <w:rtl/>
        </w:rPr>
        <w:t xml:space="preserve">تعزيز الثقافة الإجرائية لدى المحامين والتأكيد على أهمية تدريب المحامين على فهم قواعد الاختصاص النوعي لتقليل الاخطاء التي تؤدي إلى إطالة النزاع أو بطلان الإجراءات. </w:t>
      </w:r>
    </w:p>
    <w:p w14:paraId="441B9B54" w14:textId="77777777" w:rsidR="00867FC8" w:rsidRPr="00867FC8" w:rsidRDefault="00867FC8" w:rsidP="00867FC8">
      <w:pPr>
        <w:tabs>
          <w:tab w:val="left" w:pos="1652"/>
        </w:tabs>
        <w:spacing w:after="200"/>
        <w:ind w:left="360"/>
        <w:jc w:val="both"/>
        <w:rPr>
          <w:rFonts w:asciiTheme="majorBidi" w:hAnsiTheme="majorBidi" w:cstheme="majorBidi"/>
          <w:sz w:val="28"/>
          <w:rtl/>
        </w:rPr>
      </w:pPr>
    </w:p>
    <w:p w14:paraId="2D1B9BC0" w14:textId="1C0EB86E" w:rsidR="003F5C52" w:rsidRPr="00DE5FF7" w:rsidRDefault="003F5C52" w:rsidP="00DE5FF7">
      <w:pPr>
        <w:tabs>
          <w:tab w:val="left" w:pos="1652"/>
        </w:tabs>
        <w:jc w:val="center"/>
        <w:rPr>
          <w:rFonts w:asciiTheme="majorBidi" w:hAnsiTheme="majorBidi" w:cstheme="majorBidi"/>
          <w:b/>
          <w:bCs/>
          <w:sz w:val="32"/>
          <w:szCs w:val="32"/>
          <w:rtl/>
        </w:rPr>
      </w:pPr>
      <w:r w:rsidRPr="00DE5FF7">
        <w:rPr>
          <w:rFonts w:asciiTheme="majorBidi" w:hAnsiTheme="majorBidi" w:cstheme="majorBidi"/>
          <w:b/>
          <w:bCs/>
          <w:sz w:val="32"/>
          <w:szCs w:val="32"/>
          <w:rtl/>
        </w:rPr>
        <w:t>المصادر</w:t>
      </w:r>
      <w:r w:rsidR="00867FC8">
        <w:rPr>
          <w:rFonts w:asciiTheme="majorBidi" w:hAnsiTheme="majorBidi" w:cstheme="majorBidi" w:hint="cs"/>
          <w:b/>
          <w:bCs/>
          <w:sz w:val="32"/>
          <w:szCs w:val="32"/>
          <w:rtl/>
        </w:rPr>
        <w:t xml:space="preserve"> والمراجع</w:t>
      </w:r>
    </w:p>
    <w:p w14:paraId="1732D138" w14:textId="7F2151E4" w:rsidR="003F5C52" w:rsidRPr="00C133D4" w:rsidRDefault="003F5C52" w:rsidP="00867FC8">
      <w:pPr>
        <w:pStyle w:val="ListParagraph"/>
        <w:numPr>
          <w:ilvl w:val="0"/>
          <w:numId w:val="48"/>
        </w:numPr>
        <w:tabs>
          <w:tab w:val="left" w:pos="1652"/>
        </w:tabs>
        <w:bidi/>
        <w:rPr>
          <w:rFonts w:asciiTheme="majorBidi" w:hAnsiTheme="majorBidi" w:cstheme="majorBidi"/>
          <w:b/>
          <w:bCs/>
          <w:sz w:val="24"/>
          <w:szCs w:val="24"/>
          <w:rtl/>
        </w:rPr>
      </w:pPr>
      <w:r w:rsidRPr="00C133D4">
        <w:rPr>
          <w:rFonts w:asciiTheme="majorBidi" w:hAnsiTheme="majorBidi" w:cstheme="majorBidi"/>
          <w:b/>
          <w:bCs/>
          <w:sz w:val="24"/>
          <w:szCs w:val="24"/>
          <w:rtl/>
        </w:rPr>
        <w:t>الكتب :</w:t>
      </w:r>
    </w:p>
    <w:p w14:paraId="274A33A8" w14:textId="77777777" w:rsidR="00867FC8" w:rsidRPr="00867FC8" w:rsidRDefault="00867FC8" w:rsidP="00867FC8">
      <w:pPr>
        <w:pStyle w:val="ListParagraph"/>
        <w:numPr>
          <w:ilvl w:val="0"/>
          <w:numId w:val="47"/>
        </w:numPr>
        <w:bidi/>
        <w:spacing w:line="240" w:lineRule="auto"/>
        <w:jc w:val="both"/>
        <w:rPr>
          <w:rFonts w:asciiTheme="majorBidi" w:hAnsiTheme="majorBidi" w:cstheme="majorBidi"/>
          <w:sz w:val="24"/>
          <w:szCs w:val="24"/>
        </w:rPr>
      </w:pPr>
      <w:r w:rsidRPr="00867FC8">
        <w:rPr>
          <w:rFonts w:asciiTheme="majorBidi" w:hAnsiTheme="majorBidi" w:cstheme="majorBidi"/>
          <w:sz w:val="24"/>
          <w:szCs w:val="24"/>
          <w:rtl/>
        </w:rPr>
        <w:t xml:space="preserve"> أحمد هندي ، قانون المرافعات المدنية والتجارية ، النهضة العربية ، القاهرة ، 2017.</w:t>
      </w:r>
    </w:p>
    <w:p w14:paraId="64AC71EC" w14:textId="77777777" w:rsidR="00867FC8" w:rsidRPr="00867FC8" w:rsidRDefault="00867FC8" w:rsidP="00867FC8">
      <w:pPr>
        <w:pStyle w:val="FootnoteText"/>
        <w:numPr>
          <w:ilvl w:val="0"/>
          <w:numId w:val="47"/>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 xml:space="preserve"> احمد السيد صاوي ، الوسيط في شرح قانون المرافعات المدنية والتجارية ، بدون دار نشر ، القاهرة ، 2008.</w:t>
      </w:r>
    </w:p>
    <w:p w14:paraId="469B45EC" w14:textId="77777777" w:rsidR="00867FC8" w:rsidRPr="00867FC8" w:rsidRDefault="00867FC8" w:rsidP="00867FC8">
      <w:pPr>
        <w:pStyle w:val="FootnoteText"/>
        <w:numPr>
          <w:ilvl w:val="0"/>
          <w:numId w:val="47"/>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 xml:space="preserve"> احمد السيد صاوي ، الوسيط في شرح قانون المرافعات المدنية والتجارية ، بدون دار طبع ، القاهرة ، 2008.</w:t>
      </w:r>
    </w:p>
    <w:p w14:paraId="4DD64ABF" w14:textId="77777777" w:rsidR="00867FC8" w:rsidRPr="00867FC8" w:rsidRDefault="00867FC8" w:rsidP="00867FC8">
      <w:pPr>
        <w:pStyle w:val="FootnoteText"/>
        <w:numPr>
          <w:ilvl w:val="0"/>
          <w:numId w:val="47"/>
        </w:numPr>
        <w:bidi/>
        <w:jc w:val="both"/>
        <w:rPr>
          <w:rFonts w:asciiTheme="majorBidi" w:hAnsiTheme="majorBidi" w:cstheme="majorBidi"/>
          <w:sz w:val="24"/>
          <w:szCs w:val="24"/>
        </w:rPr>
      </w:pPr>
      <w:r w:rsidRPr="00867FC8">
        <w:rPr>
          <w:rFonts w:asciiTheme="majorBidi" w:hAnsiTheme="majorBidi" w:cstheme="majorBidi"/>
          <w:sz w:val="24"/>
          <w:szCs w:val="24"/>
          <w:rtl/>
        </w:rPr>
        <w:t>سعد جريان ، المبادئ القانونية في قضاء محكمة التمييز الاتحادية لعام 2018 ، ج/3 ، مكتبة السنهوري ، بغداد.</w:t>
      </w:r>
    </w:p>
    <w:p w14:paraId="30FE5D53" w14:textId="77777777" w:rsidR="00867FC8" w:rsidRPr="00867FC8" w:rsidRDefault="00867FC8" w:rsidP="00867FC8">
      <w:pPr>
        <w:numPr>
          <w:ilvl w:val="0"/>
          <w:numId w:val="47"/>
        </w:numPr>
        <w:spacing w:after="200" w:line="240" w:lineRule="auto"/>
        <w:jc w:val="both"/>
        <w:rPr>
          <w:rFonts w:asciiTheme="majorBidi" w:hAnsiTheme="majorBidi" w:cstheme="majorBidi"/>
          <w:sz w:val="24"/>
          <w:szCs w:val="24"/>
        </w:rPr>
      </w:pPr>
      <w:r w:rsidRPr="00867FC8">
        <w:rPr>
          <w:rFonts w:asciiTheme="majorBidi" w:hAnsiTheme="majorBidi" w:cstheme="majorBidi"/>
          <w:sz w:val="24"/>
          <w:szCs w:val="24"/>
          <w:rtl/>
        </w:rPr>
        <w:t xml:space="preserve"> سلام عبد الزهرة ، ود. نبيل مهدي زوين ، الوجيز في شرح قانون الأحوال الشخصية العراقي ، مؤسسة </w:t>
      </w:r>
      <w:proofErr w:type="spellStart"/>
      <w:r w:rsidRPr="00867FC8">
        <w:rPr>
          <w:rFonts w:asciiTheme="majorBidi" w:hAnsiTheme="majorBidi" w:cstheme="majorBidi"/>
          <w:sz w:val="24"/>
          <w:szCs w:val="24"/>
          <w:rtl/>
        </w:rPr>
        <w:t>النبراس</w:t>
      </w:r>
      <w:proofErr w:type="spellEnd"/>
      <w:r w:rsidRPr="00867FC8">
        <w:rPr>
          <w:rFonts w:asciiTheme="majorBidi" w:hAnsiTheme="majorBidi" w:cstheme="majorBidi"/>
          <w:sz w:val="24"/>
          <w:szCs w:val="24"/>
          <w:rtl/>
        </w:rPr>
        <w:t xml:space="preserve"> للطباعة ، بغداد ، 2015. </w:t>
      </w:r>
    </w:p>
    <w:p w14:paraId="294F0E1F" w14:textId="77777777" w:rsidR="00867FC8" w:rsidRPr="00867FC8" w:rsidRDefault="00867FC8" w:rsidP="00867FC8">
      <w:pPr>
        <w:pStyle w:val="FootnoteText"/>
        <w:numPr>
          <w:ilvl w:val="0"/>
          <w:numId w:val="47"/>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 xml:space="preserve"> عباس العبودي ، شرح أحكام قانون المرافعات المدنية ، ط/1 ، مكتبة السنهوري ، بغداد ، 2015</w:t>
      </w:r>
    </w:p>
    <w:p w14:paraId="58DD945A" w14:textId="77777777" w:rsidR="00867FC8" w:rsidRPr="00867FC8" w:rsidRDefault="00867FC8" w:rsidP="00867FC8">
      <w:pPr>
        <w:pStyle w:val="FootnoteText"/>
        <w:numPr>
          <w:ilvl w:val="0"/>
          <w:numId w:val="47"/>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عبد الرحمن العلام ، شرح قانون المرافعات المدنية ، ج/1 ، ط/2 ، العاتك لصناعة الكتاب ، القاهرة ، 2008.</w:t>
      </w:r>
    </w:p>
    <w:p w14:paraId="47911969" w14:textId="77777777" w:rsidR="00867FC8" w:rsidRPr="00867FC8" w:rsidRDefault="00867FC8" w:rsidP="00867FC8">
      <w:pPr>
        <w:numPr>
          <w:ilvl w:val="0"/>
          <w:numId w:val="47"/>
        </w:numPr>
        <w:spacing w:after="200" w:line="240" w:lineRule="auto"/>
        <w:jc w:val="both"/>
        <w:rPr>
          <w:rFonts w:asciiTheme="majorBidi" w:hAnsiTheme="majorBidi" w:cstheme="majorBidi"/>
          <w:sz w:val="24"/>
          <w:szCs w:val="24"/>
        </w:rPr>
      </w:pPr>
      <w:r w:rsidRPr="00867FC8">
        <w:rPr>
          <w:rFonts w:asciiTheme="majorBidi" w:hAnsiTheme="majorBidi" w:cstheme="majorBidi"/>
          <w:sz w:val="24"/>
          <w:szCs w:val="24"/>
          <w:rtl/>
        </w:rPr>
        <w:t xml:space="preserve"> عصمت عبد المجيد بكر ، اصول المرافعات المدنية ، منشورات جامعة جيهان الأهلية ، اربيل ، 2013.</w:t>
      </w:r>
    </w:p>
    <w:p w14:paraId="2488AD62" w14:textId="77777777" w:rsidR="00867FC8" w:rsidRPr="00867FC8" w:rsidRDefault="00867FC8" w:rsidP="00867FC8">
      <w:pPr>
        <w:pStyle w:val="FootnoteText"/>
        <w:numPr>
          <w:ilvl w:val="0"/>
          <w:numId w:val="47"/>
        </w:numPr>
        <w:bidi/>
        <w:jc w:val="both"/>
        <w:rPr>
          <w:rFonts w:asciiTheme="majorBidi" w:hAnsiTheme="majorBidi" w:cstheme="majorBidi"/>
          <w:sz w:val="24"/>
          <w:szCs w:val="24"/>
        </w:rPr>
      </w:pPr>
      <w:r w:rsidRPr="00867FC8">
        <w:rPr>
          <w:rFonts w:asciiTheme="majorBidi" w:hAnsiTheme="majorBidi" w:cstheme="majorBidi"/>
          <w:sz w:val="24"/>
          <w:szCs w:val="24"/>
          <w:rtl/>
        </w:rPr>
        <w:t>علي بركات ، الوسيط في شرح قانون المرافعات المدنية والتجارية ، دار النهضة العربية ، القاهرة ، 2016</w:t>
      </w:r>
      <w:r w:rsidRPr="00867FC8">
        <w:rPr>
          <w:rFonts w:asciiTheme="majorBidi" w:hAnsiTheme="majorBidi" w:cstheme="majorBidi" w:hint="cs"/>
          <w:sz w:val="24"/>
          <w:szCs w:val="24"/>
          <w:rtl/>
        </w:rPr>
        <w:t>.</w:t>
      </w:r>
    </w:p>
    <w:p w14:paraId="2A705315" w14:textId="77777777" w:rsidR="00867FC8" w:rsidRPr="00867FC8" w:rsidRDefault="00867FC8" w:rsidP="00867FC8">
      <w:pPr>
        <w:pStyle w:val="ListParagraph"/>
        <w:numPr>
          <w:ilvl w:val="0"/>
          <w:numId w:val="47"/>
        </w:numPr>
        <w:bidi/>
        <w:spacing w:line="240" w:lineRule="auto"/>
        <w:jc w:val="both"/>
        <w:rPr>
          <w:rFonts w:asciiTheme="majorBidi" w:hAnsiTheme="majorBidi" w:cstheme="majorBidi"/>
          <w:sz w:val="24"/>
          <w:szCs w:val="24"/>
          <w:rtl/>
        </w:rPr>
      </w:pPr>
      <w:r w:rsidRPr="00867FC8">
        <w:rPr>
          <w:rFonts w:asciiTheme="majorBidi" w:hAnsiTheme="majorBidi" w:cstheme="majorBidi"/>
          <w:sz w:val="24"/>
          <w:szCs w:val="24"/>
          <w:rtl/>
        </w:rPr>
        <w:t xml:space="preserve">  عماد حسن سلمان ، شرح قانون المرافعات المدنية ، المكتبة القانونية ، بغداد ، 2018.</w:t>
      </w:r>
    </w:p>
    <w:p w14:paraId="3230153C" w14:textId="77777777" w:rsidR="00867FC8" w:rsidRPr="00867FC8" w:rsidRDefault="00867FC8" w:rsidP="00867FC8">
      <w:pPr>
        <w:pStyle w:val="ListParagraph"/>
        <w:numPr>
          <w:ilvl w:val="0"/>
          <w:numId w:val="47"/>
        </w:numPr>
        <w:bidi/>
        <w:spacing w:line="240" w:lineRule="auto"/>
        <w:jc w:val="both"/>
        <w:rPr>
          <w:rFonts w:asciiTheme="majorBidi" w:hAnsiTheme="majorBidi" w:cstheme="majorBidi"/>
          <w:sz w:val="24"/>
          <w:szCs w:val="24"/>
          <w:rtl/>
        </w:rPr>
      </w:pPr>
      <w:r w:rsidRPr="00867FC8">
        <w:rPr>
          <w:rFonts w:asciiTheme="majorBidi" w:hAnsiTheme="majorBidi" w:cstheme="majorBidi"/>
          <w:sz w:val="24"/>
          <w:szCs w:val="24"/>
          <w:rtl/>
        </w:rPr>
        <w:t xml:space="preserve"> فتحي والي ، المبسوط في قانون القضاء المدني ، ج/1 ، دار النهضة العربية ، القاهرة ، 2017 .</w:t>
      </w:r>
    </w:p>
    <w:p w14:paraId="79AB7902" w14:textId="77777777" w:rsidR="00867FC8" w:rsidRPr="00867FC8" w:rsidRDefault="00867FC8" w:rsidP="00867FC8">
      <w:pPr>
        <w:numPr>
          <w:ilvl w:val="0"/>
          <w:numId w:val="47"/>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محمد حسن كشكول وعباس السعدي ، شرح قانون الأحوال الشخصية رقم 188 لسنة 1959 ، ط/2 ، المكتبة القانونية ، بغداد ، 2011.</w:t>
      </w:r>
    </w:p>
    <w:p w14:paraId="424E363E" w14:textId="77777777" w:rsidR="00867FC8" w:rsidRPr="00867FC8" w:rsidRDefault="00867FC8" w:rsidP="00867FC8">
      <w:pPr>
        <w:pStyle w:val="FootnoteText"/>
        <w:numPr>
          <w:ilvl w:val="0"/>
          <w:numId w:val="47"/>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 xml:space="preserve"> محمود محمد هاشم ، قانون القضاء المدني ، ج/2 ، دار الفكر ، فرع جامعة عين شمس للطباعة والنشر ، 1982.</w:t>
      </w:r>
    </w:p>
    <w:p w14:paraId="4D83AD62" w14:textId="77777777" w:rsidR="00867FC8" w:rsidRPr="00867FC8" w:rsidRDefault="00867FC8" w:rsidP="00867FC8">
      <w:pPr>
        <w:pStyle w:val="FootnoteText"/>
        <w:numPr>
          <w:ilvl w:val="0"/>
          <w:numId w:val="47"/>
        </w:numPr>
        <w:bidi/>
        <w:spacing w:after="200"/>
        <w:jc w:val="both"/>
        <w:rPr>
          <w:rFonts w:asciiTheme="majorBidi" w:hAnsiTheme="majorBidi" w:cstheme="majorBidi"/>
          <w:sz w:val="24"/>
          <w:szCs w:val="24"/>
          <w:rtl/>
        </w:rPr>
      </w:pPr>
      <w:r w:rsidRPr="00867FC8">
        <w:rPr>
          <w:rFonts w:asciiTheme="majorBidi" w:hAnsiTheme="majorBidi" w:cstheme="majorBidi"/>
          <w:sz w:val="24"/>
          <w:szCs w:val="24"/>
          <w:rtl/>
        </w:rPr>
        <w:t xml:space="preserve"> وجدي راغب فهمي ، النظرية العامة للعمل القضائي ، منشأة المعارف ، الاسكندرية ، 1974.</w:t>
      </w:r>
    </w:p>
    <w:p w14:paraId="6EBF97EE" w14:textId="77777777" w:rsidR="003F5C52" w:rsidRPr="00DE5FF7" w:rsidRDefault="003F5C52" w:rsidP="00DE5FF7">
      <w:pPr>
        <w:pStyle w:val="FootnoteText"/>
        <w:bidi/>
        <w:spacing w:line="360" w:lineRule="auto"/>
        <w:rPr>
          <w:rFonts w:asciiTheme="majorBidi" w:hAnsiTheme="majorBidi" w:cstheme="majorBidi"/>
          <w:b/>
          <w:bCs/>
          <w:sz w:val="28"/>
          <w:szCs w:val="28"/>
          <w:rtl/>
        </w:rPr>
      </w:pPr>
    </w:p>
    <w:p w14:paraId="47346538" w14:textId="6A1E0A28" w:rsidR="003F5C52" w:rsidRPr="00C133D4" w:rsidRDefault="003F5C52" w:rsidP="00867FC8">
      <w:pPr>
        <w:pStyle w:val="FootnoteText"/>
        <w:numPr>
          <w:ilvl w:val="0"/>
          <w:numId w:val="48"/>
        </w:numPr>
        <w:bidi/>
        <w:spacing w:line="360" w:lineRule="auto"/>
        <w:rPr>
          <w:rFonts w:asciiTheme="majorBidi" w:hAnsiTheme="majorBidi" w:cstheme="majorBidi"/>
          <w:b/>
          <w:bCs/>
          <w:sz w:val="24"/>
          <w:szCs w:val="24"/>
          <w:rtl/>
        </w:rPr>
      </w:pPr>
      <w:r w:rsidRPr="00C133D4">
        <w:rPr>
          <w:rFonts w:asciiTheme="majorBidi" w:hAnsiTheme="majorBidi" w:cstheme="majorBidi"/>
          <w:b/>
          <w:bCs/>
          <w:sz w:val="24"/>
          <w:szCs w:val="24"/>
          <w:rtl/>
        </w:rPr>
        <w:t>القوانين :</w:t>
      </w:r>
    </w:p>
    <w:p w14:paraId="401BF494"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lastRenderedPageBreak/>
        <w:t>القانون المدني العراقي رقم (40) لسنة 1951.</w:t>
      </w:r>
    </w:p>
    <w:p w14:paraId="0B82A670"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قانون الأحوال الشخصية رقم 188 لسنة 1959.</w:t>
      </w:r>
    </w:p>
    <w:p w14:paraId="2E37D3E8" w14:textId="77777777" w:rsidR="003F5C52" w:rsidRPr="00867FC8" w:rsidRDefault="003F5C52" w:rsidP="00867FC8">
      <w:pPr>
        <w:pStyle w:val="FootnoteText"/>
        <w:numPr>
          <w:ilvl w:val="0"/>
          <w:numId w:val="45"/>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قانون العقوبات رقم (111) لسنة 1969.</w:t>
      </w:r>
    </w:p>
    <w:p w14:paraId="2EC92E1E" w14:textId="77777777" w:rsidR="003F5C52" w:rsidRPr="00867FC8" w:rsidRDefault="003F5C52" w:rsidP="00867FC8">
      <w:pPr>
        <w:pStyle w:val="FootnoteText"/>
        <w:numPr>
          <w:ilvl w:val="0"/>
          <w:numId w:val="45"/>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قانون المرافعات المدنية رقم (83) لسنة 1969.</w:t>
      </w:r>
    </w:p>
    <w:p w14:paraId="76FB0FA2"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قانون التجارة رقم (149) لسنة 1970.</w:t>
      </w:r>
    </w:p>
    <w:p w14:paraId="1893B8C8"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قانون التنظيم القضائي المرقم (160) لسنة 1979.</w:t>
      </w:r>
    </w:p>
    <w:p w14:paraId="76249F1A" w14:textId="77777777" w:rsidR="003F5C52" w:rsidRPr="00867FC8" w:rsidRDefault="003F5C52" w:rsidP="00867FC8">
      <w:pPr>
        <w:pStyle w:val="FootnoteText"/>
        <w:numPr>
          <w:ilvl w:val="0"/>
          <w:numId w:val="45"/>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قانون الرعاية الاجتماعية رقم (126) لسنة 1980.</w:t>
      </w:r>
    </w:p>
    <w:p w14:paraId="75F8AF77"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قانون الرسوم العدلية رقم (14) لسنة 1981 المعدل.</w:t>
      </w:r>
    </w:p>
    <w:p w14:paraId="60704E5B"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 xml:space="preserve">قانون </w:t>
      </w:r>
      <w:proofErr w:type="spellStart"/>
      <w:r w:rsidRPr="00867FC8">
        <w:rPr>
          <w:rFonts w:asciiTheme="majorBidi" w:hAnsiTheme="majorBidi" w:cstheme="majorBidi"/>
          <w:sz w:val="24"/>
          <w:szCs w:val="24"/>
          <w:rtl/>
        </w:rPr>
        <w:t>الكمارك</w:t>
      </w:r>
      <w:proofErr w:type="spellEnd"/>
      <w:r w:rsidRPr="00867FC8">
        <w:rPr>
          <w:rFonts w:asciiTheme="majorBidi" w:hAnsiTheme="majorBidi" w:cstheme="majorBidi"/>
          <w:sz w:val="24"/>
          <w:szCs w:val="24"/>
          <w:rtl/>
        </w:rPr>
        <w:t xml:space="preserve"> رقم (23) لسنة 1984 المعدل.</w:t>
      </w:r>
    </w:p>
    <w:p w14:paraId="4F7AE913" w14:textId="77777777" w:rsidR="003F5C52" w:rsidRPr="00867FC8" w:rsidRDefault="003F5C52" w:rsidP="00867FC8">
      <w:pPr>
        <w:numPr>
          <w:ilvl w:val="0"/>
          <w:numId w:val="45"/>
        </w:numPr>
        <w:spacing w:after="200" w:line="240" w:lineRule="auto"/>
        <w:jc w:val="both"/>
        <w:rPr>
          <w:rFonts w:asciiTheme="majorBidi" w:hAnsiTheme="majorBidi" w:cstheme="majorBidi"/>
          <w:sz w:val="24"/>
          <w:szCs w:val="24"/>
          <w:rtl/>
        </w:rPr>
      </w:pPr>
      <w:r w:rsidRPr="00867FC8">
        <w:rPr>
          <w:rFonts w:asciiTheme="majorBidi" w:hAnsiTheme="majorBidi" w:cstheme="majorBidi"/>
          <w:sz w:val="24"/>
          <w:szCs w:val="24"/>
          <w:rtl/>
        </w:rPr>
        <w:t>انظر قانون البنك المركزي العراقي رقم (56) لسنة 2004.</w:t>
      </w:r>
    </w:p>
    <w:p w14:paraId="394C6CF2" w14:textId="77777777" w:rsidR="003F5C52" w:rsidRPr="00867FC8" w:rsidRDefault="003F5C52" w:rsidP="00867FC8">
      <w:pPr>
        <w:pStyle w:val="FootnoteText"/>
        <w:numPr>
          <w:ilvl w:val="0"/>
          <w:numId w:val="45"/>
        </w:numPr>
        <w:bidi/>
        <w:spacing w:after="200"/>
        <w:jc w:val="both"/>
        <w:rPr>
          <w:rFonts w:asciiTheme="majorBidi" w:hAnsiTheme="majorBidi" w:cstheme="majorBidi"/>
          <w:sz w:val="24"/>
          <w:szCs w:val="24"/>
        </w:rPr>
      </w:pPr>
      <w:r w:rsidRPr="00867FC8">
        <w:rPr>
          <w:rFonts w:asciiTheme="majorBidi" w:hAnsiTheme="majorBidi" w:cstheme="majorBidi"/>
          <w:sz w:val="24"/>
          <w:szCs w:val="24"/>
          <w:rtl/>
        </w:rPr>
        <w:t>قانون العمل العراقي المرقم (37) لسنة 2015.</w:t>
      </w:r>
    </w:p>
    <w:p w14:paraId="43FC6119" w14:textId="2D996B6F" w:rsidR="003F5C52" w:rsidRPr="00C81585" w:rsidRDefault="003F5C52" w:rsidP="00867FC8">
      <w:pPr>
        <w:pStyle w:val="FootnoteText"/>
        <w:numPr>
          <w:ilvl w:val="0"/>
          <w:numId w:val="46"/>
        </w:numPr>
        <w:bidi/>
        <w:spacing w:line="360" w:lineRule="auto"/>
        <w:rPr>
          <w:rFonts w:asciiTheme="majorBidi" w:hAnsiTheme="majorBidi" w:cstheme="majorBidi"/>
          <w:b/>
          <w:bCs/>
          <w:sz w:val="24"/>
          <w:szCs w:val="24"/>
          <w:rtl/>
        </w:rPr>
      </w:pPr>
      <w:r w:rsidRPr="00C81585">
        <w:rPr>
          <w:rFonts w:asciiTheme="majorBidi" w:hAnsiTheme="majorBidi" w:cstheme="majorBidi"/>
          <w:b/>
          <w:bCs/>
          <w:sz w:val="24"/>
          <w:szCs w:val="24"/>
          <w:rtl/>
        </w:rPr>
        <w:t>مجموعات المبادئ القضائية :</w:t>
      </w:r>
    </w:p>
    <w:p w14:paraId="1B021404" w14:textId="3A7C5BC2" w:rsidR="00047E1E" w:rsidRPr="00C81585" w:rsidRDefault="003F5C52" w:rsidP="00960B2A">
      <w:pPr>
        <w:pStyle w:val="FootnoteText"/>
        <w:bidi/>
        <w:spacing w:after="200" w:line="360" w:lineRule="auto"/>
        <w:ind w:left="720"/>
        <w:rPr>
          <w:rFonts w:asciiTheme="majorBidi" w:hAnsiTheme="majorBidi" w:cstheme="majorBidi"/>
          <w:b/>
          <w:bCs/>
          <w:sz w:val="24"/>
          <w:szCs w:val="24"/>
        </w:rPr>
      </w:pPr>
      <w:r w:rsidRPr="00C81585">
        <w:rPr>
          <w:rFonts w:asciiTheme="majorBidi" w:hAnsiTheme="majorBidi" w:cstheme="majorBidi"/>
          <w:sz w:val="24"/>
          <w:szCs w:val="24"/>
          <w:rtl/>
        </w:rPr>
        <w:t>حيدر عودة كاظم ، المختار من قضاء محكمة التمييز الاتحادية ، ج/4</w:t>
      </w:r>
      <w:r w:rsidRPr="00C81585">
        <w:rPr>
          <w:rFonts w:asciiTheme="majorBidi" w:hAnsiTheme="majorBidi" w:cstheme="majorBidi"/>
          <w:b/>
          <w:bCs/>
          <w:sz w:val="24"/>
          <w:szCs w:val="24"/>
          <w:rtl/>
        </w:rPr>
        <w:t xml:space="preserve"> ، </w:t>
      </w:r>
      <w:r w:rsidRPr="00C81585">
        <w:rPr>
          <w:rFonts w:asciiTheme="majorBidi" w:hAnsiTheme="majorBidi" w:cstheme="majorBidi"/>
          <w:sz w:val="24"/>
          <w:szCs w:val="24"/>
          <w:rtl/>
        </w:rPr>
        <w:t>المكتبة القانونية ، بغداد</w:t>
      </w:r>
      <w:r w:rsidR="00455665" w:rsidRPr="00C81585">
        <w:rPr>
          <w:rFonts w:asciiTheme="majorBidi" w:hAnsiTheme="majorBidi" w:cstheme="majorBidi" w:hint="cs"/>
          <w:sz w:val="24"/>
          <w:szCs w:val="24"/>
          <w:rtl/>
        </w:rPr>
        <w:t>،2021 .</w:t>
      </w:r>
    </w:p>
    <w:sectPr w:rsidR="00047E1E" w:rsidRPr="00C81585" w:rsidSect="00C8158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426" w:footer="576" w:gutter="0"/>
      <w:pgNumType w:start="2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6E3BA" w14:textId="77777777" w:rsidR="00796EC0" w:rsidRDefault="00796EC0">
      <w:pPr>
        <w:spacing w:after="0" w:line="240" w:lineRule="auto"/>
      </w:pPr>
      <w:r>
        <w:separator/>
      </w:r>
    </w:p>
  </w:endnote>
  <w:endnote w:type="continuationSeparator" w:id="0">
    <w:p w14:paraId="63CE5E25" w14:textId="77777777" w:rsidR="00796EC0" w:rsidRDefault="00796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ndalus">
    <w:altName w:val="Arial"/>
    <w:panose1 w:val="020B0604020202020204"/>
    <w:charset w:val="00"/>
    <w:family w:val="roman"/>
    <w:pitch w:val="variable"/>
    <w:sig w:usb0="00002003" w:usb1="80000000" w:usb2="00000008" w:usb3="00000000" w:csb0="00000041" w:csb1="00000000"/>
  </w:font>
  <w:font w:name="Traditional Arabic">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93CF" w14:textId="4C19CE8F" w:rsidR="00DE5FF7" w:rsidRPr="0049605D" w:rsidRDefault="00DE5FF7" w:rsidP="00F03AA7">
    <w:pPr>
      <w:pStyle w:val="Footer"/>
      <w:framePr w:wrap="none" w:vAnchor="text" w:hAnchor="page" w:x="683" w:y="265"/>
      <w:ind w:right="360"/>
      <w:rPr>
        <w:rStyle w:val="PageNumber"/>
        <w:b/>
        <w:bCs/>
        <w:sz w:val="28"/>
      </w:rPr>
    </w:pPr>
  </w:p>
  <w:p w14:paraId="6B3C5339" w14:textId="77777777" w:rsidR="00DE5FF7" w:rsidRDefault="00DE5FF7" w:rsidP="00DE5FF7">
    <w:pPr>
      <w:pStyle w:val="Footer"/>
      <w:ind w:right="360"/>
    </w:pPr>
    <w:r>
      <w:rPr>
        <w:rFonts w:ascii="Andalus" w:hAnsi="Andalus" w:cs="Andalus"/>
        <w:noProof/>
        <w:rtl/>
      </w:rPr>
      <mc:AlternateContent>
        <mc:Choice Requires="wps">
          <w:drawing>
            <wp:anchor distT="0" distB="0" distL="114300" distR="114300" simplePos="0" relativeHeight="251694080" behindDoc="0" locked="0" layoutInCell="1" allowOverlap="1" wp14:anchorId="0451A88C" wp14:editId="6D289992">
              <wp:simplePos x="0" y="0"/>
              <wp:positionH relativeFrom="column">
                <wp:posOffset>-672465</wp:posOffset>
              </wp:positionH>
              <wp:positionV relativeFrom="paragraph">
                <wp:posOffset>39705</wp:posOffset>
              </wp:positionV>
              <wp:extent cx="6948994" cy="0"/>
              <wp:effectExtent l="25400" t="50800" r="36195" b="50800"/>
              <wp:wrapNone/>
              <wp:docPr id="703346681" name="رابط مستقيم 1"/>
              <wp:cNvGraphicFramePr/>
              <a:graphic xmlns:a="http://schemas.openxmlformats.org/drawingml/2006/main">
                <a:graphicData uri="http://schemas.microsoft.com/office/word/2010/wordprocessingShape">
                  <wps:wsp>
                    <wps:cNvCnPr/>
                    <wps:spPr>
                      <a:xfrm flipH="1" flipV="1">
                        <a:off x="0" y="0"/>
                        <a:ext cx="6948994" cy="0"/>
                      </a:xfrm>
                      <a:prstGeom prst="line">
                        <a:avLst/>
                      </a:prstGeom>
                      <a:ln w="47625" cap="flat" cmpd="tri">
                        <a:bevel/>
                      </a:ln>
                      <a:scene3d>
                        <a:camera prst="orthographicFront"/>
                        <a:lightRig rig="threePt" dir="t"/>
                      </a:scene3d>
                      <a:sp3d>
                        <a:bevelT/>
                      </a:sp3d>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CFA13" id="رابط مستقيم 1"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3.15pt" to="494.2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" strokecolor="#e97132 [3205]" strokeweight="3.75pt">
              <v:stroke linestyle="thickBetweenThin" joinstyle="bevel"/>
            </v:line>
          </w:pict>
        </mc:Fallback>
      </mc:AlternateContent>
    </w:r>
    <w:r w:rsidRPr="00C85A33">
      <w:rPr>
        <w:rFonts w:ascii="Andalus" w:hAnsi="Andalus" w:cs="Andalus"/>
        <w:noProof/>
        <w:rtl/>
      </w:rPr>
      <mc:AlternateContent>
        <mc:Choice Requires="wps">
          <w:drawing>
            <wp:anchor distT="45720" distB="45720" distL="114300" distR="114300" simplePos="0" relativeHeight="251693056" behindDoc="0" locked="0" layoutInCell="1" allowOverlap="1" wp14:anchorId="7BC78D7B" wp14:editId="318B93CE">
              <wp:simplePos x="0" y="0"/>
              <wp:positionH relativeFrom="column">
                <wp:posOffset>3853403</wp:posOffset>
              </wp:positionH>
              <wp:positionV relativeFrom="paragraph">
                <wp:posOffset>181936</wp:posOffset>
              </wp:positionV>
              <wp:extent cx="2581910" cy="278765"/>
              <wp:effectExtent l="0" t="0" r="0" b="0"/>
              <wp:wrapSquare wrapText="bothSides"/>
              <wp:docPr id="180937306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81910" cy="278765"/>
                      </a:xfrm>
                      <a:prstGeom prst="rect">
                        <a:avLst/>
                      </a:prstGeom>
                      <a:noFill/>
                      <a:ln w="9525">
                        <a:noFill/>
                        <a:miter lim="800000"/>
                        <a:headEnd/>
                        <a:tailEnd/>
                      </a:ln>
                    </wps:spPr>
                    <wps:txbx>
                      <w:txbxContent>
                        <w:p w14:paraId="686682D6" w14:textId="77777777" w:rsidR="00DE5FF7" w:rsidRPr="0049605D" w:rsidRDefault="00DE5FF7" w:rsidP="00DE5FF7">
                          <w:pPr>
                            <w:spacing w:after="0"/>
                            <w:rPr>
                              <w:rFonts w:ascii="Traditional Arabic" w:hAnsi="Traditional Arabic" w:cs="Traditional Arabic"/>
                              <w:b/>
                              <w:bCs/>
                              <w:sz w:val="20"/>
                              <w:szCs w:val="20"/>
                              <w:rtl/>
                              <w:lang w:bidi="ar-IQ"/>
                            </w:rPr>
                          </w:pPr>
                          <w:r w:rsidRPr="0049605D">
                            <w:rPr>
                              <w:rStyle w:val="Strong"/>
                              <w:rFonts w:ascii="Simplified Arabic" w:hAnsi="Simplified Arabic"/>
                              <w:sz w:val="20"/>
                              <w:szCs w:val="20"/>
                              <w:shd w:val="clear" w:color="auto" w:fill="FFFFFF"/>
                              <w:rtl/>
                            </w:rPr>
                            <w:t>رقم الإيداع</w:t>
                          </w:r>
                          <w:r w:rsidRPr="0049605D">
                            <w:rPr>
                              <w:rStyle w:val="Strong"/>
                              <w:rFonts w:ascii="Simplified Arabic" w:hAnsi="Simplified Arabic" w:hint="cs"/>
                              <w:sz w:val="20"/>
                              <w:szCs w:val="20"/>
                              <w:shd w:val="clear" w:color="auto" w:fill="FFFFFF"/>
                              <w:rtl/>
                            </w:rPr>
                            <w:t xml:space="preserve"> في دار الكتب والوثائق</w:t>
                          </w:r>
                          <w:r w:rsidRPr="0049605D">
                            <w:rPr>
                              <w:rStyle w:val="Strong"/>
                              <w:rFonts w:ascii="Simplified Arabic" w:hAnsi="Simplified Arabic"/>
                              <w:sz w:val="20"/>
                              <w:szCs w:val="20"/>
                              <w:shd w:val="clear" w:color="auto" w:fill="FFFFFF"/>
                              <w:rtl/>
                            </w:rPr>
                            <w:t xml:space="preserve"> الوطني</w:t>
                          </w:r>
                          <w:r w:rsidRPr="0049605D">
                            <w:rPr>
                              <w:rStyle w:val="Strong"/>
                              <w:rFonts w:ascii="Simplified Arabic" w:hAnsi="Simplified Arabic" w:hint="cs"/>
                              <w:sz w:val="20"/>
                              <w:szCs w:val="20"/>
                              <w:shd w:val="clear" w:color="auto" w:fill="FFFFFF"/>
                              <w:rtl/>
                            </w:rPr>
                            <w:t>ة</w:t>
                          </w:r>
                          <w:r w:rsidRPr="0049605D">
                            <w:rPr>
                              <w:rStyle w:val="Strong"/>
                              <w:rFonts w:ascii="Simplified Arabic" w:hAnsi="Simplified Arabic"/>
                              <w:sz w:val="20"/>
                              <w:szCs w:val="20"/>
                              <w:shd w:val="clear" w:color="auto" w:fill="FFFFFF"/>
                              <w:rtl/>
                            </w:rPr>
                            <w:t xml:space="preserve"> (2783)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78D7B" id="_x0000_t202" coordsize="21600,21600" o:spt="202" path="m,l,21600r21600,l21600,xe">
              <v:stroke joinstyle="miter"/>
              <v:path gradientshapeok="t" o:connecttype="rect"/>
            </v:shapetype>
            <v:shape id="_x0000_s1029" type="#_x0000_t202" style="position:absolute;left:0;text-align:left;margin-left:303.4pt;margin-top:14.35pt;width:203.3pt;height:21.95pt;flip:x;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" filled="f" stroked="f">
              <v:textbox>
                <w:txbxContent>
                  <w:p w14:paraId="686682D6" w14:textId="77777777" w:rsidR="00DE5FF7" w:rsidRPr="0049605D" w:rsidRDefault="00DE5FF7" w:rsidP="00DE5FF7">
                    <w:pPr>
                      <w:spacing w:after="0"/>
                      <w:rPr>
                        <w:rFonts w:ascii="Traditional Arabic" w:hAnsi="Traditional Arabic" w:cs="Traditional Arabic"/>
                        <w:b/>
                        <w:bCs/>
                        <w:sz w:val="20"/>
                        <w:szCs w:val="20"/>
                        <w:rtl/>
                        <w:lang w:bidi="ar-IQ"/>
                      </w:rPr>
                    </w:pPr>
                    <w:r w:rsidRPr="0049605D">
                      <w:rPr>
                        <w:rStyle w:val="Strong"/>
                        <w:rFonts w:ascii="Simplified Arabic" w:hAnsi="Simplified Arabic"/>
                        <w:sz w:val="20"/>
                        <w:szCs w:val="20"/>
                        <w:shd w:val="clear" w:color="auto" w:fill="FFFFFF"/>
                        <w:rtl/>
                      </w:rPr>
                      <w:t>رقم الإيداع</w:t>
                    </w:r>
                    <w:r w:rsidRPr="0049605D">
                      <w:rPr>
                        <w:rStyle w:val="Strong"/>
                        <w:rFonts w:ascii="Simplified Arabic" w:hAnsi="Simplified Arabic" w:hint="cs"/>
                        <w:sz w:val="20"/>
                        <w:szCs w:val="20"/>
                        <w:shd w:val="clear" w:color="auto" w:fill="FFFFFF"/>
                        <w:rtl/>
                      </w:rPr>
                      <w:t xml:space="preserve"> في دار الكتب والوثائق</w:t>
                    </w:r>
                    <w:r w:rsidRPr="0049605D">
                      <w:rPr>
                        <w:rStyle w:val="Strong"/>
                        <w:rFonts w:ascii="Simplified Arabic" w:hAnsi="Simplified Arabic"/>
                        <w:sz w:val="20"/>
                        <w:szCs w:val="20"/>
                        <w:shd w:val="clear" w:color="auto" w:fill="FFFFFF"/>
                        <w:rtl/>
                      </w:rPr>
                      <w:t xml:space="preserve"> الوطني</w:t>
                    </w:r>
                    <w:r w:rsidRPr="0049605D">
                      <w:rPr>
                        <w:rStyle w:val="Strong"/>
                        <w:rFonts w:ascii="Simplified Arabic" w:hAnsi="Simplified Arabic" w:hint="cs"/>
                        <w:sz w:val="20"/>
                        <w:szCs w:val="20"/>
                        <w:shd w:val="clear" w:color="auto" w:fill="FFFFFF"/>
                        <w:rtl/>
                      </w:rPr>
                      <w:t>ة</w:t>
                    </w:r>
                    <w:r w:rsidRPr="0049605D">
                      <w:rPr>
                        <w:rStyle w:val="Strong"/>
                        <w:rFonts w:ascii="Simplified Arabic" w:hAnsi="Simplified Arabic"/>
                        <w:sz w:val="20"/>
                        <w:szCs w:val="20"/>
                        <w:shd w:val="clear" w:color="auto" w:fill="FFFFFF"/>
                        <w:rtl/>
                      </w:rPr>
                      <w:t xml:space="preserve"> (2783)</w:t>
                    </w:r>
                  </w:p>
                </w:txbxContent>
              </v:textbox>
              <w10:wrap type="square"/>
            </v:shape>
          </w:pict>
        </mc:Fallback>
      </mc:AlternateContent>
    </w:r>
  </w:p>
  <w:sdt>
    <w:sdtPr>
      <w:rPr>
        <w:rStyle w:val="PageNumber"/>
        <w:rtl/>
      </w:rPr>
      <w:id w:val="-1670709352"/>
      <w:docPartObj>
        <w:docPartGallery w:val="Page Numbers (Bottom of Page)"/>
        <w:docPartUnique/>
      </w:docPartObj>
    </w:sdtPr>
    <w:sdtContent>
      <w:p w14:paraId="2ECAF704" w14:textId="77777777" w:rsidR="00F03AA7" w:rsidRDefault="00F03AA7" w:rsidP="00F03AA7">
        <w:pPr>
          <w:pStyle w:val="Footer"/>
          <w:framePr w:wrap="none" w:vAnchor="text" w:hAnchor="page" w:x="850" w:y="235"/>
          <w:rPr>
            <w:rStyle w:val="PageNumber"/>
          </w:rPr>
        </w:pPr>
        <w:r w:rsidRPr="00F03AA7">
          <w:rPr>
            <w:rStyle w:val="PageNumber"/>
            <w:b/>
            <w:bCs/>
            <w:sz w:val="28"/>
            <w:rtl/>
          </w:rPr>
          <w:fldChar w:fldCharType="begin"/>
        </w:r>
        <w:r w:rsidRPr="00F03AA7">
          <w:rPr>
            <w:rStyle w:val="PageNumber"/>
            <w:b/>
            <w:bCs/>
            <w:sz w:val="28"/>
          </w:rPr>
          <w:instrText xml:space="preserve"> PAGE </w:instrText>
        </w:r>
        <w:r w:rsidRPr="00F03AA7">
          <w:rPr>
            <w:rStyle w:val="PageNumber"/>
            <w:b/>
            <w:bCs/>
            <w:sz w:val="28"/>
            <w:rtl/>
          </w:rPr>
          <w:fldChar w:fldCharType="separate"/>
        </w:r>
        <w:r w:rsidRPr="00F03AA7">
          <w:rPr>
            <w:rStyle w:val="PageNumber"/>
            <w:b/>
            <w:bCs/>
            <w:noProof/>
            <w:sz w:val="28"/>
            <w:rtl/>
          </w:rPr>
          <w:t>246</w:t>
        </w:r>
        <w:r w:rsidRPr="00F03AA7">
          <w:rPr>
            <w:rStyle w:val="PageNumber"/>
            <w:b/>
            <w:bCs/>
            <w:sz w:val="28"/>
            <w:rtl/>
          </w:rPr>
          <w:fldChar w:fldCharType="end"/>
        </w:r>
      </w:p>
    </w:sdtContent>
  </w:sdt>
  <w:p w14:paraId="5D9509EB" w14:textId="77777777" w:rsidR="00DE5FF7" w:rsidRDefault="00DE5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03269346"/>
      <w:docPartObj>
        <w:docPartGallery w:val="Page Numbers (Bottom of Page)"/>
        <w:docPartUnique/>
      </w:docPartObj>
    </w:sdtPr>
    <w:sdtContent>
      <w:p w14:paraId="14E6D1FD" w14:textId="57D93F6C" w:rsidR="00F03AA7" w:rsidRDefault="00F03AA7" w:rsidP="00F03AA7">
        <w:pPr>
          <w:pStyle w:val="Footer"/>
          <w:framePr w:wrap="none" w:vAnchor="text" w:hAnchor="page" w:x="623" w:y="371"/>
          <w:rPr>
            <w:rStyle w:val="PageNumber"/>
          </w:rPr>
        </w:pPr>
        <w:r w:rsidRPr="00F03AA7">
          <w:rPr>
            <w:rStyle w:val="PageNumber"/>
            <w:b/>
            <w:bCs/>
            <w:sz w:val="28"/>
            <w:rtl/>
          </w:rPr>
          <w:fldChar w:fldCharType="begin"/>
        </w:r>
        <w:r w:rsidRPr="00F03AA7">
          <w:rPr>
            <w:rStyle w:val="PageNumber"/>
            <w:b/>
            <w:bCs/>
            <w:sz w:val="28"/>
          </w:rPr>
          <w:instrText xml:space="preserve"> PAGE </w:instrText>
        </w:r>
        <w:r w:rsidRPr="00F03AA7">
          <w:rPr>
            <w:rStyle w:val="PageNumber"/>
            <w:b/>
            <w:bCs/>
            <w:sz w:val="28"/>
            <w:rtl/>
          </w:rPr>
          <w:fldChar w:fldCharType="separate"/>
        </w:r>
        <w:r w:rsidRPr="00F03AA7">
          <w:rPr>
            <w:rStyle w:val="PageNumber"/>
            <w:b/>
            <w:bCs/>
            <w:noProof/>
            <w:sz w:val="28"/>
            <w:rtl/>
          </w:rPr>
          <w:t>245</w:t>
        </w:r>
        <w:r w:rsidRPr="00F03AA7">
          <w:rPr>
            <w:rStyle w:val="PageNumber"/>
            <w:b/>
            <w:bCs/>
            <w:sz w:val="28"/>
            <w:rtl/>
          </w:rPr>
          <w:fldChar w:fldCharType="end"/>
        </w:r>
      </w:p>
    </w:sdtContent>
  </w:sdt>
  <w:p w14:paraId="0A011FC0" w14:textId="3BDFE34B" w:rsidR="00AA4DB4" w:rsidRDefault="00F03AA7" w:rsidP="00F03AA7">
    <w:pPr>
      <w:pStyle w:val="Footer"/>
      <w:ind w:right="360"/>
    </w:pPr>
    <w:r>
      <w:rPr>
        <w:rFonts w:ascii="Andalus" w:hAnsi="Andalus" w:cs="Andalus"/>
        <w:noProof/>
        <w:rtl/>
      </w:rPr>
      <mc:AlternateContent>
        <mc:Choice Requires="wps">
          <w:drawing>
            <wp:anchor distT="0" distB="0" distL="114300" distR="114300" simplePos="0" relativeHeight="251640832" behindDoc="0" locked="0" layoutInCell="1" allowOverlap="1" wp14:anchorId="02B4FB50" wp14:editId="5BC1FDDF">
              <wp:simplePos x="0" y="0"/>
              <wp:positionH relativeFrom="column">
                <wp:posOffset>-629686</wp:posOffset>
              </wp:positionH>
              <wp:positionV relativeFrom="paragraph">
                <wp:posOffset>-5715</wp:posOffset>
              </wp:positionV>
              <wp:extent cx="6908232" cy="0"/>
              <wp:effectExtent l="38100" t="50800" r="26035" b="50800"/>
              <wp:wrapNone/>
              <wp:docPr id="943547288" name="رابط مستقيم 1"/>
              <wp:cNvGraphicFramePr/>
              <a:graphic xmlns:a="http://schemas.openxmlformats.org/drawingml/2006/main">
                <a:graphicData uri="http://schemas.microsoft.com/office/word/2010/wordprocessingShape">
                  <wps:wsp>
                    <wps:cNvCnPr/>
                    <wps:spPr>
                      <a:xfrm flipH="1" flipV="1">
                        <a:off x="0" y="0"/>
                        <a:ext cx="6908232" cy="0"/>
                      </a:xfrm>
                      <a:prstGeom prst="line">
                        <a:avLst/>
                      </a:prstGeom>
                      <a:ln w="47625" cap="flat" cmpd="tri">
                        <a:bevel/>
                      </a:ln>
                      <a:scene3d>
                        <a:camera prst="orthographicFront"/>
                        <a:lightRig rig="threePt" dir="t"/>
                      </a:scene3d>
                      <a:sp3d>
                        <a:bevelT/>
                      </a:sp3d>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EEEF1" id="رابط مستقيم 1" o:spid="_x0000_s1026" style="position:absolute;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45pt" to="494.3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" strokecolor="#e97132 [3205]" strokeweight="3.75pt">
              <v:stroke linestyle="thickBetweenThin" joinstyle="bevel"/>
            </v:line>
          </w:pict>
        </mc:Fallback>
      </mc:AlternateContent>
    </w:r>
    <w:r w:rsidR="00C60A9A" w:rsidRPr="00C85A33">
      <w:rPr>
        <w:rFonts w:ascii="Andalus" w:hAnsi="Andalus" w:cs="Andalus"/>
        <w:noProof/>
        <w:rtl/>
      </w:rPr>
      <mc:AlternateContent>
        <mc:Choice Requires="wps">
          <w:drawing>
            <wp:anchor distT="45720" distB="45720" distL="114300" distR="114300" simplePos="0" relativeHeight="251676672" behindDoc="0" locked="0" layoutInCell="1" allowOverlap="1" wp14:anchorId="32531262" wp14:editId="206A6075">
              <wp:simplePos x="0" y="0"/>
              <wp:positionH relativeFrom="column">
                <wp:posOffset>3695767</wp:posOffset>
              </wp:positionH>
              <wp:positionV relativeFrom="paragraph">
                <wp:posOffset>210185</wp:posOffset>
              </wp:positionV>
              <wp:extent cx="2581910" cy="278765"/>
              <wp:effectExtent l="0" t="0" r="0" b="0"/>
              <wp:wrapSquare wrapText="bothSides"/>
              <wp:docPr id="17701035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81910" cy="278765"/>
                      </a:xfrm>
                      <a:prstGeom prst="rect">
                        <a:avLst/>
                      </a:prstGeom>
                      <a:noFill/>
                      <a:ln w="9525">
                        <a:noFill/>
                        <a:miter lim="800000"/>
                        <a:headEnd/>
                        <a:tailEnd/>
                      </a:ln>
                    </wps:spPr>
                    <wps:txbx>
                      <w:txbxContent>
                        <w:p w14:paraId="198D5874" w14:textId="03A92177" w:rsidR="00C60A9A" w:rsidRPr="00C60A9A" w:rsidRDefault="00C60A9A" w:rsidP="00C60A9A">
                          <w:pPr>
                            <w:spacing w:after="0"/>
                            <w:rPr>
                              <w:rFonts w:ascii="Traditional Arabic" w:hAnsi="Traditional Arabic" w:cs="Traditional Arabic"/>
                              <w:b/>
                              <w:bCs/>
                              <w:sz w:val="18"/>
                              <w:szCs w:val="18"/>
                              <w:rtl/>
                              <w:lang w:bidi="ar-IQ"/>
                            </w:rPr>
                          </w:pPr>
                          <w:r w:rsidRPr="00C60A9A">
                            <w:rPr>
                              <w:rStyle w:val="Strong"/>
                              <w:rFonts w:ascii="Simplified Arabic" w:hAnsi="Simplified Arabic"/>
                              <w:sz w:val="18"/>
                              <w:szCs w:val="18"/>
                              <w:shd w:val="clear" w:color="auto" w:fill="FFFFFF"/>
                              <w:rtl/>
                            </w:rPr>
                            <w:t>رقم الإيداع</w:t>
                          </w:r>
                          <w:r w:rsidRPr="00C60A9A">
                            <w:rPr>
                              <w:rStyle w:val="Strong"/>
                              <w:rFonts w:ascii="Simplified Arabic" w:hAnsi="Simplified Arabic" w:hint="cs"/>
                              <w:sz w:val="18"/>
                              <w:szCs w:val="18"/>
                              <w:shd w:val="clear" w:color="auto" w:fill="FFFFFF"/>
                              <w:rtl/>
                            </w:rPr>
                            <w:t xml:space="preserve"> في دار الكتب والوثائق</w:t>
                          </w:r>
                          <w:r w:rsidRPr="00C60A9A">
                            <w:rPr>
                              <w:rStyle w:val="Strong"/>
                              <w:rFonts w:ascii="Simplified Arabic" w:hAnsi="Simplified Arabic"/>
                              <w:sz w:val="18"/>
                              <w:szCs w:val="18"/>
                              <w:shd w:val="clear" w:color="auto" w:fill="FFFFFF"/>
                              <w:rtl/>
                            </w:rPr>
                            <w:t xml:space="preserve"> الوطني</w:t>
                          </w:r>
                          <w:r w:rsidRPr="00C60A9A">
                            <w:rPr>
                              <w:rStyle w:val="Strong"/>
                              <w:rFonts w:ascii="Simplified Arabic" w:hAnsi="Simplified Arabic" w:hint="cs"/>
                              <w:sz w:val="18"/>
                              <w:szCs w:val="18"/>
                              <w:shd w:val="clear" w:color="auto" w:fill="FFFFFF"/>
                              <w:rtl/>
                            </w:rPr>
                            <w:t>ة</w:t>
                          </w:r>
                          <w:r w:rsidRPr="00C60A9A">
                            <w:rPr>
                              <w:rStyle w:val="Strong"/>
                              <w:rFonts w:ascii="Simplified Arabic" w:hAnsi="Simplified Arabic"/>
                              <w:sz w:val="18"/>
                              <w:szCs w:val="18"/>
                              <w:shd w:val="clear" w:color="auto" w:fill="FFFFFF"/>
                              <w:rtl/>
                            </w:rPr>
                            <w:t xml:space="preserve"> (2783)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31262" id="_x0000_t202" coordsize="21600,21600" o:spt="202" path="m,l,21600r21600,l21600,xe">
              <v:stroke joinstyle="miter"/>
              <v:path gradientshapeok="t" o:connecttype="rect"/>
            </v:shapetype>
            <v:shape id="_x0000_s1030" type="#_x0000_t202" style="position:absolute;left:0;text-align:left;margin-left:291pt;margin-top:16.55pt;width:203.3pt;height:21.9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" filled="f" stroked="f">
              <v:textbox>
                <w:txbxContent>
                  <w:p w14:paraId="198D5874" w14:textId="03A92177" w:rsidR="00C60A9A" w:rsidRPr="00C60A9A" w:rsidRDefault="00C60A9A" w:rsidP="00C60A9A">
                    <w:pPr>
                      <w:spacing w:after="0"/>
                      <w:rPr>
                        <w:rFonts w:ascii="Traditional Arabic" w:hAnsi="Traditional Arabic" w:cs="Traditional Arabic"/>
                        <w:b/>
                        <w:bCs/>
                        <w:sz w:val="18"/>
                        <w:szCs w:val="18"/>
                        <w:rtl/>
                        <w:lang w:bidi="ar-IQ"/>
                      </w:rPr>
                    </w:pPr>
                    <w:r w:rsidRPr="00C60A9A">
                      <w:rPr>
                        <w:rStyle w:val="Strong"/>
                        <w:rFonts w:ascii="Simplified Arabic" w:hAnsi="Simplified Arabic"/>
                        <w:sz w:val="18"/>
                        <w:szCs w:val="18"/>
                        <w:shd w:val="clear" w:color="auto" w:fill="FFFFFF"/>
                        <w:rtl/>
                      </w:rPr>
                      <w:t>رقم الإيداع</w:t>
                    </w:r>
                    <w:r w:rsidRPr="00C60A9A">
                      <w:rPr>
                        <w:rStyle w:val="Strong"/>
                        <w:rFonts w:ascii="Simplified Arabic" w:hAnsi="Simplified Arabic" w:hint="cs"/>
                        <w:sz w:val="18"/>
                        <w:szCs w:val="18"/>
                        <w:shd w:val="clear" w:color="auto" w:fill="FFFFFF"/>
                        <w:rtl/>
                      </w:rPr>
                      <w:t xml:space="preserve"> في دار الكتب والوثائق</w:t>
                    </w:r>
                    <w:r w:rsidRPr="00C60A9A">
                      <w:rPr>
                        <w:rStyle w:val="Strong"/>
                        <w:rFonts w:ascii="Simplified Arabic" w:hAnsi="Simplified Arabic"/>
                        <w:sz w:val="18"/>
                        <w:szCs w:val="18"/>
                        <w:shd w:val="clear" w:color="auto" w:fill="FFFFFF"/>
                        <w:rtl/>
                      </w:rPr>
                      <w:t xml:space="preserve"> الوطني</w:t>
                    </w:r>
                    <w:r w:rsidRPr="00C60A9A">
                      <w:rPr>
                        <w:rStyle w:val="Strong"/>
                        <w:rFonts w:ascii="Simplified Arabic" w:hAnsi="Simplified Arabic" w:hint="cs"/>
                        <w:sz w:val="18"/>
                        <w:szCs w:val="18"/>
                        <w:shd w:val="clear" w:color="auto" w:fill="FFFFFF"/>
                        <w:rtl/>
                      </w:rPr>
                      <w:t>ة</w:t>
                    </w:r>
                    <w:r w:rsidRPr="00C60A9A">
                      <w:rPr>
                        <w:rStyle w:val="Strong"/>
                        <w:rFonts w:ascii="Simplified Arabic" w:hAnsi="Simplified Arabic"/>
                        <w:sz w:val="18"/>
                        <w:szCs w:val="18"/>
                        <w:shd w:val="clear" w:color="auto" w:fill="FFFFFF"/>
                        <w:rtl/>
                      </w:rPr>
                      <w:t xml:space="preserve"> (2783)</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2068634485"/>
      <w:docPartObj>
        <w:docPartGallery w:val="Page Numbers (Bottom of Page)"/>
        <w:docPartUnique/>
      </w:docPartObj>
    </w:sdtPr>
    <w:sdtContent>
      <w:p w14:paraId="7575BA75" w14:textId="18B50B13" w:rsidR="00F03AA7" w:rsidRDefault="00F03AA7" w:rsidP="00F03AA7">
        <w:pPr>
          <w:pStyle w:val="Footer"/>
          <w:framePr w:wrap="none" w:vAnchor="text" w:hAnchor="page" w:x="547" w:y="1703"/>
          <w:rPr>
            <w:rStyle w:val="PageNumber"/>
          </w:rPr>
        </w:pPr>
        <w:r w:rsidRPr="00F03AA7">
          <w:rPr>
            <w:rStyle w:val="PageNumber"/>
            <w:b/>
            <w:bCs/>
            <w:sz w:val="28"/>
            <w:rtl/>
          </w:rPr>
          <w:fldChar w:fldCharType="begin"/>
        </w:r>
        <w:r w:rsidRPr="00F03AA7">
          <w:rPr>
            <w:rStyle w:val="PageNumber"/>
            <w:b/>
            <w:bCs/>
            <w:sz w:val="28"/>
          </w:rPr>
          <w:instrText xml:space="preserve"> PAGE </w:instrText>
        </w:r>
        <w:r w:rsidRPr="00F03AA7">
          <w:rPr>
            <w:rStyle w:val="PageNumber"/>
            <w:b/>
            <w:bCs/>
            <w:sz w:val="28"/>
            <w:rtl/>
          </w:rPr>
          <w:fldChar w:fldCharType="separate"/>
        </w:r>
        <w:r w:rsidRPr="00F03AA7">
          <w:rPr>
            <w:rStyle w:val="PageNumber"/>
            <w:b/>
            <w:bCs/>
            <w:noProof/>
            <w:sz w:val="28"/>
            <w:rtl/>
          </w:rPr>
          <w:t>244</w:t>
        </w:r>
        <w:r w:rsidRPr="00F03AA7">
          <w:rPr>
            <w:rStyle w:val="PageNumber"/>
            <w:b/>
            <w:bCs/>
            <w:sz w:val="28"/>
            <w:rtl/>
          </w:rPr>
          <w:fldChar w:fldCharType="end"/>
        </w:r>
      </w:p>
    </w:sdtContent>
  </w:sdt>
  <w:p w14:paraId="33FBC336" w14:textId="30049A53" w:rsidR="00DE5FF7" w:rsidRDefault="00DE5FF7" w:rsidP="00DE5FF7">
    <w:pPr>
      <w:pStyle w:val="NormalWeb"/>
      <w:ind w:right="360" w:firstLine="360"/>
    </w:pPr>
    <w:r>
      <w:rPr>
        <w:rFonts w:ascii="Andalus" w:hAnsi="Andalus" w:cs="Andalus"/>
        <w:noProof/>
        <w:rtl/>
      </w:rPr>
      <mc:AlternateContent>
        <mc:Choice Requires="wps">
          <w:drawing>
            <wp:anchor distT="0" distB="0" distL="114300" distR="114300" simplePos="0" relativeHeight="251682816" behindDoc="0" locked="0" layoutInCell="1" allowOverlap="1" wp14:anchorId="7A5E7B3B" wp14:editId="13C9CA45">
              <wp:simplePos x="0" y="0"/>
              <wp:positionH relativeFrom="column">
                <wp:posOffset>-552117</wp:posOffset>
              </wp:positionH>
              <wp:positionV relativeFrom="paragraph">
                <wp:posOffset>165935</wp:posOffset>
              </wp:positionV>
              <wp:extent cx="6948994" cy="0"/>
              <wp:effectExtent l="25400" t="50800" r="36195" b="50800"/>
              <wp:wrapNone/>
              <wp:docPr id="1208469277" name="رابط مستقيم 1"/>
              <wp:cNvGraphicFramePr/>
              <a:graphic xmlns:a="http://schemas.openxmlformats.org/drawingml/2006/main">
                <a:graphicData uri="http://schemas.microsoft.com/office/word/2010/wordprocessingShape">
                  <wps:wsp>
                    <wps:cNvCnPr/>
                    <wps:spPr>
                      <a:xfrm flipH="1" flipV="1">
                        <a:off x="0" y="0"/>
                        <a:ext cx="6948994" cy="0"/>
                      </a:xfrm>
                      <a:prstGeom prst="line">
                        <a:avLst/>
                      </a:prstGeom>
                      <a:ln w="47625" cap="flat" cmpd="tri">
                        <a:bevel/>
                      </a:ln>
                      <a:scene3d>
                        <a:camera prst="orthographicFront"/>
                        <a:lightRig rig="threePt" dir="t"/>
                      </a:scene3d>
                      <a:sp3d>
                        <a:bevelT/>
                      </a:sp3d>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C023C" id="رابط مستقيم 1"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5pt,13.05pt" to="503.7pt,1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" strokecolor="#e97132 [3205]" strokeweight="3.75pt">
              <v:stroke linestyle="thickBetweenThin" joinstyle="bevel"/>
            </v:line>
          </w:pict>
        </mc:Fallback>
      </mc:AlternateContent>
    </w:r>
    <w:r>
      <w:br/>
    </w:r>
    <w:r>
      <w:rPr>
        <w:rStyle w:val="Strong"/>
      </w:rPr>
      <w:t>Creative Commons License</w:t>
    </w:r>
    <w:r>
      <w:br/>
      <w:t xml:space="preserve">This work is licensed under a </w:t>
    </w:r>
    <w:r>
      <w:rPr>
        <w:rStyle w:val="Strong"/>
      </w:rPr>
      <w:t>Creative Commons Attribution 4.0 International License (CC BY 4.0)</w:t>
    </w:r>
    <w:r>
      <w:t>.</w:t>
    </w:r>
    <w:r>
      <w:br/>
    </w:r>
    <w:hyperlink r:id="rId1" w:tgtFrame="_new" w:history="1">
      <w:r>
        <w:rPr>
          <w:rStyle w:val="Hyperlink"/>
        </w:rPr>
        <w:t>https://</w:t>
      </w:r>
      <w:proofErr w:type="spellStart"/>
      <w:r>
        <w:rPr>
          <w:rStyle w:val="Hyperlink"/>
        </w:rPr>
        <w:t>creativecommons.org</w:t>
      </w:r>
      <w:proofErr w:type="spellEnd"/>
      <w:r>
        <w:rPr>
          <w:rStyle w:val="Hyperlink"/>
        </w:rPr>
        <w:t>/licenses/by/4.0/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9D189" w14:textId="77777777" w:rsidR="00796EC0" w:rsidRDefault="00796EC0">
      <w:r>
        <w:separator/>
      </w:r>
    </w:p>
  </w:footnote>
  <w:footnote w:type="continuationSeparator" w:id="0">
    <w:p w14:paraId="2B4E862A" w14:textId="77777777" w:rsidR="00796EC0" w:rsidRDefault="00796EC0">
      <w:r>
        <w:continuationSeparator/>
      </w:r>
    </w:p>
  </w:footnote>
  <w:footnote w:id="1">
    <w:p w14:paraId="07AE89DA" w14:textId="5AAD8EE5" w:rsidR="00DE5FF7" w:rsidRPr="00DE5FF7" w:rsidRDefault="00DE5FF7" w:rsidP="00DE5FF7">
      <w:pPr>
        <w:pStyle w:val="Heading3"/>
        <w:bidi w:val="0"/>
        <w:spacing w:line="240" w:lineRule="auto"/>
        <w:jc w:val="left"/>
        <w:rPr>
          <w:rFonts w:asciiTheme="majorBidi" w:hAnsiTheme="majorBidi" w:cstheme="majorBidi"/>
          <w:color w:val="007BB8"/>
          <w:sz w:val="24"/>
          <w:szCs w:val="24"/>
          <w:rtl/>
          <w:lang w:bidi="ar-DZ"/>
        </w:rPr>
      </w:pPr>
      <w:r w:rsidRPr="00DE5FF7">
        <w:rPr>
          <w:rStyle w:val="FootnoteReference"/>
          <w:rFonts w:asciiTheme="majorBidi" w:hAnsiTheme="majorBidi" w:cstheme="majorBidi"/>
          <w:sz w:val="24"/>
          <w:szCs w:val="24"/>
        </w:rPr>
        <w:t>*</w:t>
      </w:r>
      <w:r w:rsidRPr="00DE5FF7">
        <w:rPr>
          <w:rFonts w:asciiTheme="majorBidi" w:hAnsiTheme="majorBidi" w:cstheme="majorBidi"/>
          <w:sz w:val="24"/>
          <w:szCs w:val="24"/>
        </w:rPr>
        <w:t xml:space="preserve"> </w:t>
      </w:r>
      <w:r w:rsidRPr="00DE5FF7">
        <w:rPr>
          <w:rFonts w:asciiTheme="majorBidi" w:hAnsiTheme="majorBidi" w:cstheme="majorBidi"/>
          <w:b w:val="0"/>
          <w:bCs w:val="0"/>
          <w:color w:val="000000" w:themeColor="text1"/>
          <w:sz w:val="24"/>
          <w:szCs w:val="24"/>
          <w:lang w:bidi="ar-IQ"/>
        </w:rPr>
        <w:t xml:space="preserve">Email </w:t>
      </w:r>
      <w:r w:rsidRPr="00DE5FF7">
        <w:rPr>
          <w:rFonts w:asciiTheme="majorBidi" w:hAnsiTheme="majorBidi" w:cstheme="majorBidi"/>
          <w:b w:val="0"/>
          <w:bCs w:val="0"/>
          <w:color w:val="007BB8"/>
          <w:sz w:val="24"/>
          <w:szCs w:val="24"/>
          <w:lang w:bidi="ar-IQ"/>
        </w:rPr>
        <w:t xml:space="preserve">: </w:t>
      </w:r>
      <w:proofErr w:type="spellStart"/>
      <w:r w:rsidRPr="00DE5FF7">
        <w:rPr>
          <w:rFonts w:asciiTheme="majorBidi" w:eastAsia="Times New Roman" w:hAnsiTheme="majorBidi" w:cstheme="majorBidi"/>
          <w:sz w:val="24"/>
          <w:szCs w:val="24"/>
          <w:lang w:bidi="ar-IQ"/>
        </w:rPr>
        <w:t>ali.jihad@mu.edu.iq</w:t>
      </w:r>
      <w:proofErr w:type="spellEnd"/>
    </w:p>
  </w:footnote>
  <w:footnote w:id="2">
    <w:p w14:paraId="63A8AE93"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rtl/>
        </w:rPr>
        <w:t xml:space="preserve"> د. فتحي والي ، المبسوط في قانون القضاء المدني ، ج/1 ، دار النهضة العربية ، القاهرة ، 2017 ، ص457.</w:t>
      </w:r>
    </w:p>
  </w:footnote>
  <w:footnote w:id="3">
    <w:p w14:paraId="593E2540" w14:textId="77777777" w:rsidR="003F5C52" w:rsidRPr="00DE5FF7" w:rsidRDefault="003F5C52" w:rsidP="000035A2">
      <w:pPr>
        <w:pStyle w:val="FootnoteText"/>
        <w:bidi/>
        <w:jc w:val="both"/>
        <w:rPr>
          <w:rFonts w:asciiTheme="majorBidi" w:hAnsiTheme="majorBidi" w:cstheme="majorBidi"/>
          <w:sz w:val="24"/>
          <w:szCs w:val="24"/>
          <w:rtl/>
        </w:rPr>
      </w:pPr>
      <w:r w:rsidRPr="00DE5FF7">
        <w:rPr>
          <w:rFonts w:asciiTheme="majorBidi" w:hAnsiTheme="majorBidi" w:cstheme="majorBidi"/>
          <w:sz w:val="24"/>
          <w:szCs w:val="24"/>
        </w:rPr>
        <w:footnoteRef/>
      </w:r>
      <w:r w:rsidRPr="00DE5FF7">
        <w:rPr>
          <w:rFonts w:asciiTheme="majorBidi" w:hAnsiTheme="majorBidi" w:cstheme="majorBidi"/>
          <w:sz w:val="24"/>
          <w:szCs w:val="24"/>
          <w:rtl/>
        </w:rPr>
        <w:t>) د. فتحي والي ، مصدر سابق ، ص461.</w:t>
      </w:r>
    </w:p>
  </w:footnote>
  <w:footnote w:id="4">
    <w:p w14:paraId="4027FF03" w14:textId="77777777" w:rsidR="003F5C52" w:rsidRPr="00DE5FF7" w:rsidRDefault="003F5C52" w:rsidP="000035A2">
      <w:pPr>
        <w:pStyle w:val="FootnoteText"/>
        <w:bidi/>
        <w:jc w:val="both"/>
        <w:rPr>
          <w:rFonts w:asciiTheme="majorBidi" w:hAnsiTheme="majorBidi" w:cstheme="majorBidi"/>
          <w:sz w:val="24"/>
          <w:szCs w:val="24"/>
        </w:rPr>
      </w:pPr>
      <w:r w:rsidRPr="00DE5FF7">
        <w:rPr>
          <w:rFonts w:asciiTheme="majorBidi" w:hAnsiTheme="majorBidi" w:cstheme="majorBidi"/>
          <w:sz w:val="24"/>
          <w:szCs w:val="24"/>
        </w:rPr>
        <w:footnoteRef/>
      </w:r>
      <w:r w:rsidRPr="00DE5FF7">
        <w:rPr>
          <w:rFonts w:asciiTheme="majorBidi" w:hAnsiTheme="majorBidi" w:cstheme="majorBidi"/>
          <w:sz w:val="24"/>
          <w:szCs w:val="24"/>
          <w:rtl/>
        </w:rPr>
        <w:t xml:space="preserve"> د. آدم وهيب النداوي، المرافعات المدنية، ط1، مكتبة السنهوري، بيروت، 2015، ص 88.</w:t>
      </w:r>
    </w:p>
  </w:footnote>
  <w:footnote w:id="5">
    <w:p w14:paraId="596EEC1B" w14:textId="77777777" w:rsidR="003F5C52" w:rsidRPr="00DE5FF7" w:rsidRDefault="003F5C52" w:rsidP="000035A2">
      <w:pPr>
        <w:pStyle w:val="FootnoteText"/>
        <w:bidi/>
        <w:jc w:val="both"/>
        <w:rPr>
          <w:rFonts w:asciiTheme="majorBidi" w:hAnsiTheme="majorBidi" w:cstheme="majorBidi"/>
          <w:sz w:val="24"/>
          <w:szCs w:val="24"/>
        </w:rPr>
      </w:pPr>
      <w:r w:rsidRPr="00DE5FF7">
        <w:rPr>
          <w:rFonts w:asciiTheme="majorBidi" w:hAnsiTheme="majorBidi" w:cstheme="majorBidi"/>
          <w:sz w:val="24"/>
          <w:szCs w:val="24"/>
        </w:rPr>
        <w:footnoteRef/>
      </w:r>
      <w:r w:rsidRPr="00DE5FF7">
        <w:rPr>
          <w:rFonts w:asciiTheme="majorBidi" w:hAnsiTheme="majorBidi" w:cstheme="majorBidi"/>
          <w:sz w:val="24"/>
          <w:szCs w:val="24"/>
          <w:rtl/>
        </w:rPr>
        <w:t xml:space="preserve"> د. احمد ابو الوفاء ،أصول المحاكمات المدنية، الدار الجامعية، بيروت، 1983،  ص277.</w:t>
      </w:r>
    </w:p>
  </w:footnote>
  <w:footnote w:id="6">
    <w:p w14:paraId="0F64B5BB" w14:textId="77777777" w:rsidR="003F5C52" w:rsidRPr="00DE5FF7" w:rsidRDefault="003F5C52" w:rsidP="000035A2">
      <w:pPr>
        <w:pStyle w:val="FootnoteText"/>
        <w:bidi/>
        <w:jc w:val="both"/>
        <w:rPr>
          <w:rFonts w:asciiTheme="majorBidi" w:hAnsiTheme="majorBidi" w:cstheme="majorBidi"/>
          <w:sz w:val="24"/>
          <w:szCs w:val="24"/>
        </w:rPr>
      </w:pPr>
      <w:r w:rsidRPr="00DE5FF7">
        <w:rPr>
          <w:rFonts w:asciiTheme="majorBidi" w:hAnsiTheme="majorBidi" w:cstheme="majorBidi"/>
          <w:sz w:val="24"/>
          <w:szCs w:val="24"/>
        </w:rPr>
        <w:footnoteRef/>
      </w:r>
      <w:r w:rsidRPr="00DE5FF7">
        <w:rPr>
          <w:rFonts w:asciiTheme="majorBidi" w:hAnsiTheme="majorBidi" w:cstheme="majorBidi"/>
          <w:sz w:val="24"/>
          <w:szCs w:val="24"/>
          <w:rtl/>
        </w:rPr>
        <w:t xml:space="preserve">  ينظُر: المواد اعلاه نصت المادة ( 77) على أن " الدفع بعدم اختصاص المحكمة بسبب عدم ولايتها أو بسبب نوع الدعوى أو قيمتها تحكم به المحكمة من تلقاء نفسها. ويجوز ابداؤه في أية حالة تكون عليها الدعوى". اما المادة (79) جاء فيها " إذا رات المحكمة المحالة عليها الدعوى انها لا تختص بنظرها فيكون قرارها قابلاً للطعن تمييزاً".</w:t>
      </w:r>
    </w:p>
  </w:footnote>
  <w:footnote w:id="7">
    <w:p w14:paraId="259C8C52"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فتحي والي ، مصدر سابق ، ص581.</w:t>
      </w:r>
    </w:p>
  </w:footnote>
  <w:footnote w:id="8">
    <w:p w14:paraId="01BFE0E9"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علي بركات، الوسيط في شرح قانون المرافعات المدنية والتجارية ، دار النهضة العربية ، القاهرة ، 2016 ، ص333.</w:t>
      </w:r>
    </w:p>
  </w:footnote>
  <w:footnote w:id="9">
    <w:p w14:paraId="39240A2F"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د. علي بركات، </w:t>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المصدر نفسه ، ص570.</w:t>
      </w:r>
    </w:p>
  </w:footnote>
  <w:footnote w:id="10">
    <w:p w14:paraId="36A7881E"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عباس العبودي ، شرح احكام قانون المرافعات ، ط1، دار السنهوري، بغداد، 2015 ، ص116.</w:t>
      </w:r>
    </w:p>
  </w:footnote>
  <w:footnote w:id="11">
    <w:p w14:paraId="541DA59D" w14:textId="77777777" w:rsidR="003F5C52" w:rsidRPr="00DE5FF7" w:rsidRDefault="003F5C52" w:rsidP="000035A2">
      <w:pPr>
        <w:pStyle w:val="FootnoteText"/>
        <w:bidi/>
        <w:jc w:val="both"/>
        <w:rPr>
          <w:rFonts w:asciiTheme="majorBidi" w:hAnsiTheme="majorBidi" w:cstheme="majorBidi"/>
          <w:sz w:val="24"/>
          <w:szCs w:val="24"/>
        </w:rPr>
      </w:pPr>
      <w:r w:rsidRPr="00DE5FF7">
        <w:rPr>
          <w:rFonts w:asciiTheme="majorBidi" w:hAnsiTheme="majorBidi" w:cstheme="majorBidi"/>
          <w:sz w:val="24"/>
          <w:szCs w:val="24"/>
        </w:rPr>
        <w:footnoteRef/>
      </w:r>
      <w:r w:rsidRPr="00DE5FF7">
        <w:rPr>
          <w:rFonts w:asciiTheme="majorBidi" w:hAnsiTheme="majorBidi" w:cstheme="majorBidi"/>
          <w:sz w:val="24"/>
          <w:szCs w:val="24"/>
          <w:rtl/>
        </w:rPr>
        <w:t xml:space="preserve"> د. نبيل اسماعيل عمر، الوسيط في قانون المرافعات المدنية والتجارية، دار الجامعة الجديدة، الاسكندرية، 2011، ص161.</w:t>
      </w:r>
    </w:p>
  </w:footnote>
  <w:footnote w:id="12">
    <w:p w14:paraId="10675327" w14:textId="77777777" w:rsidR="003F5C52" w:rsidRPr="00DE5FF7" w:rsidRDefault="003F5C52" w:rsidP="000035A2">
      <w:pPr>
        <w:pStyle w:val="FootnoteText"/>
        <w:bidi/>
        <w:jc w:val="both"/>
        <w:rPr>
          <w:rFonts w:asciiTheme="majorBidi" w:hAnsiTheme="majorBidi" w:cstheme="majorBidi"/>
          <w:sz w:val="24"/>
          <w:szCs w:val="24"/>
        </w:rPr>
      </w:pPr>
      <w:r w:rsidRPr="00DE5FF7">
        <w:rPr>
          <w:rFonts w:asciiTheme="majorBidi" w:hAnsiTheme="majorBidi" w:cstheme="majorBidi"/>
          <w:sz w:val="24"/>
          <w:szCs w:val="24"/>
        </w:rPr>
        <w:footnoteRef/>
      </w:r>
      <w:r w:rsidRPr="00DE5FF7">
        <w:rPr>
          <w:rFonts w:asciiTheme="majorBidi" w:hAnsiTheme="majorBidi" w:cstheme="majorBidi"/>
          <w:sz w:val="24"/>
          <w:szCs w:val="24"/>
          <w:rtl/>
        </w:rPr>
        <w:t xml:space="preserve"> د. عباس العبودي، مصدر سابق،  ص 343.</w:t>
      </w:r>
    </w:p>
  </w:footnote>
  <w:footnote w:id="13">
    <w:p w14:paraId="66EDADD9"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احمد السيد صاوي ، الوسيط في شرح قانون المرافعات المدنية والتجارية ، بدون دار طبع ، القاهرة ، 2008 ، ص397.</w:t>
      </w:r>
    </w:p>
  </w:footnote>
  <w:footnote w:id="14">
    <w:p w14:paraId="47333DE4"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عماد حسن سلمان ، شرح قانون المرافعات المدنية ، المكتبة القانونية، بغداد، 2018، ص85 وما بعدها.</w:t>
      </w:r>
    </w:p>
  </w:footnote>
  <w:footnote w:id="15">
    <w:p w14:paraId="13DA286D"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(26) من قانون التنظيم القضائي رقم 160 لسنة 1979 المعدل.</w:t>
      </w:r>
    </w:p>
  </w:footnote>
  <w:footnote w:id="16">
    <w:p w14:paraId="334D93D9"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(28/أولاً) من قانون التنظيم القضائي اعلاه.</w:t>
      </w:r>
    </w:p>
  </w:footnote>
  <w:footnote w:id="17">
    <w:p w14:paraId="422DB2CA"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(28/ثانياً) من قانون التنظيم القضائي اعلاه.</w:t>
      </w:r>
    </w:p>
  </w:footnote>
  <w:footnote w:id="18">
    <w:p w14:paraId="6E30C9BE"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(300) من قانون المرافعات المدنية.</w:t>
      </w:r>
    </w:p>
  </w:footnote>
  <w:footnote w:id="19">
    <w:p w14:paraId="60B88079"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(301) من قانون المرافعات المدنية.</w:t>
      </w:r>
    </w:p>
  </w:footnote>
  <w:footnote w:id="20">
    <w:p w14:paraId="212584F1"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(302) من قانون الأحوال الشخصية.</w:t>
      </w:r>
    </w:p>
  </w:footnote>
  <w:footnote w:id="21">
    <w:p w14:paraId="3769C301"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القرار المرقم 250/الهيئة الموسعة المدنية/2018 في 22/7/2018 المتضمن ((ان المحكمة المختصة بنظر دعوى المطالبة بأتعاب المحاماة هي المحكمة التي نظرت أصل الدعوى باتعاب المحاماة عنها باستثناء محاكم الجزاء والاستئناف والتمييز ، عملاً باحكام المادة (40) من قانون المرافعات المدنية)) . سعد جريان ، المبادئ القانونية في قضاء محكمة التمييز الاتحادية لعام 2018 ، ج/3 ، مكتبة السنهوري ، بغداد ، ص21.</w:t>
      </w:r>
    </w:p>
  </w:footnote>
  <w:footnote w:id="22">
    <w:p w14:paraId="6F6AD2B4"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محمد حسن كشكول وعباس السعدي ، شرح قانون الأحوال الشخصية</w:t>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رقم 188 لسنة 1959 ، ط/2 ، المكتبة القانونية ، بغداد ، 2011 ، ص15. د. سلام عبد الزهرة ، ود. نبيل مهدي زوين ، الوجيز في شرح قانون الأحوال الشخصية العراقي ، مؤسسة النبراس للطباعة ، بغداد ، 2015 ، ص11. </w:t>
      </w:r>
    </w:p>
  </w:footnote>
  <w:footnote w:id="23">
    <w:p w14:paraId="70223F52"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(97و98) من قانون العقوبات رقم (111) لسنة 1969.</w:t>
      </w:r>
    </w:p>
  </w:footnote>
  <w:footnote w:id="24">
    <w:p w14:paraId="6CE41769"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محمد حسن كشكول ، عباس السعدي شرح قانون الأحوال الشخصية</w:t>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رقم 188 لسنة 1959 ، مصدر سابق ، ص15. انظر نص المادة (19/ثانياً) من قانون الرعاية الاجتماعية رقم (126) لسنة 1980. </w:t>
      </w:r>
    </w:p>
  </w:footnote>
  <w:footnote w:id="25">
    <w:p w14:paraId="05630345"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المادة (181) من قانون المرافعات المدنية. محمد حسن كشكول ، عباس السعدي شرح قانون الأحوال الشخصية</w:t>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رقم 188 لسنة 1959 ، المصدر نفسه ، ص15.</w:t>
      </w:r>
    </w:p>
  </w:footnote>
  <w:footnote w:id="26">
    <w:p w14:paraId="428125BD"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د. عصمت عبد المجيد بكر ، اصول المرافعات اصول المرافعات المدنية ، منشورات جامعة جيهان الأهلية ، اربيل ، 2013 ، ص200. </w:t>
      </w:r>
    </w:p>
  </w:footnote>
  <w:footnote w:id="27">
    <w:p w14:paraId="6F919BEC"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(65/ثالثاً) من قانون التنظيم القضائي ، التي نصت على ((تحل عبارة (محكمة الأحوال الشخصية) محل عبارة (المحكمة الشرعية) أينما ورد ذكرها في القوانين)).</w:t>
      </w:r>
    </w:p>
  </w:footnote>
  <w:footnote w:id="28">
    <w:p w14:paraId="4017ABE3"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عباس العبودي  ، مصدر سابق ، ص125</w:t>
      </w:r>
    </w:p>
  </w:footnote>
  <w:footnote w:id="29">
    <w:p w14:paraId="672A06BE"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(165) من قانون العمل العراقي المرقم (37) لسنة 2015.</w:t>
      </w:r>
    </w:p>
  </w:footnote>
  <w:footnote w:id="30">
    <w:p w14:paraId="52519AB6"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انظر القرار بالعدد 187/الهيئة المدنية/2021 في 14/1/2020 المتضمن ((وجد ان الحكم المميز غير صحيح ومخالف للقانون ، ذلك أن الحكم المطعون به صدر برئاسة القاضي دون حضور ممثل عن الاتحاد العام الأكثر تمثيلاً للعمال وممثل عن اتحاد أصحاب العمل الأكثر تمثيلاً خلافاً لأحكام المادة (165) من قانون العمل رقم (37) لسنة 2015 ، وبذلك يكون فاقداً للشكلية القانونية ولا يرتب أثر قانوني ما لم يصدر وتتلى مسودته بمشاركة رئيس واعضاء المحكمة)) . وقد الغيت هذه الفقرة بموجب قرار المحكمة الاتحادية رقم 65/اتحادية/2021. </w:t>
      </w:r>
    </w:p>
  </w:footnote>
  <w:footnote w:id="31">
    <w:p w14:paraId="1FA92358"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الغيت هذه الفقرة بموجب قرار المحكمة الاتحادية رقم 65/اتحادية/2021.</w:t>
      </w:r>
    </w:p>
  </w:footnote>
  <w:footnote w:id="32">
    <w:p w14:paraId="36BD97AC"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(166/أولاً/أ) من قانون العمل رقم 37 لسنة 2015.</w:t>
      </w:r>
    </w:p>
  </w:footnote>
  <w:footnote w:id="33">
    <w:p w14:paraId="22707DE0"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(166/أولاً/ب) من قانون العمل.</w:t>
      </w:r>
    </w:p>
  </w:footnote>
  <w:footnote w:id="34">
    <w:p w14:paraId="5099AC6D"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(166/أولاً/ج) من قانون العمل.</w:t>
      </w:r>
    </w:p>
  </w:footnote>
  <w:footnote w:id="35">
    <w:p w14:paraId="3278B853"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(166/ثالثاً) من قانون العمل.</w:t>
      </w:r>
    </w:p>
  </w:footnote>
  <w:footnote w:id="36">
    <w:p w14:paraId="5C44231D"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نشر قانون العمل في جريدة الوقائع العراقية بالعدد (4386) في 9/11/2015 . وقد نص في المادة (174) منه ((ينفذ هذا القانون بعد مضي (90) تسعين يوماً من تاريخ نشره في الجريدة الرسمية)).</w:t>
      </w:r>
    </w:p>
  </w:footnote>
  <w:footnote w:id="37">
    <w:p w14:paraId="3D03FD02"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w:t>
      </w:r>
      <w:r w:rsidRPr="00DE5FF7">
        <w:rPr>
          <w:rFonts w:asciiTheme="majorBidi" w:hAnsiTheme="majorBidi" w:cstheme="majorBidi"/>
          <w:sz w:val="24"/>
          <w:szCs w:val="24"/>
          <w:rtl/>
        </w:rPr>
        <w:t xml:space="preserve"> انظر القرار المرقم 190/الهيئة الموسعة المدنية/2019 في 22/7/2019 المتضمن ((وإذ أن اختصاصات محكمة البداءة المتخصصة بالدعاوى التجارية تشمل النظر في دعاوى المقاولات الحكومية ، ودعاوى الاستثمار الناشئة عن تطبيق قانون الاستثمار رقم (13) لسنة 2006 ، والدعاوى التجارية التي يكون أحد اطرافها اجنبياً...) . حيدر عودة كاظم ، المختار من قضاء محكمة التمييز الاتحادية ، ج/4 ، ص235.</w:t>
      </w:r>
    </w:p>
  </w:footnote>
  <w:footnote w:id="38">
    <w:p w14:paraId="5D0DF7A9"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نشره تشكيل المحكمة التجارية في جريدة الوقائع العراقية بالعدد (4169) في 29/11/2010 . وكذلك تم تشكيل محكمة تجارية في محكمة استئناف البصرة الاتحادية ونشر بيان تأسيسها في جريدة الوقائع العراقية بالعدد (4263) في 14/1/2012.</w:t>
      </w:r>
    </w:p>
  </w:footnote>
  <w:footnote w:id="39">
    <w:p w14:paraId="7BE30899"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د. عماد حسن سلمان ، شرح المرافعات المدنية ، مصدر سابق ، ص57. </w:t>
      </w:r>
    </w:p>
  </w:footnote>
  <w:footnote w:id="40">
    <w:p w14:paraId="4FCDDF99"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تم تشكيل محكمة الاستثمار بموجب البيان المرقم (82) في 23/8/2016 الصادر عن رئيس مجلس القضاء الأعلى ، والذي نشر في جريدة الوقائع العراقية بالعدد (4421) في 31/10/2016. </w:t>
      </w:r>
    </w:p>
  </w:footnote>
  <w:footnote w:id="41">
    <w:p w14:paraId="2807E0E7"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التعديل الأخير لقانون المرافعات المدنية رقم (10) لسنة 2016.</w:t>
      </w:r>
    </w:p>
  </w:footnote>
  <w:footnote w:id="42">
    <w:p w14:paraId="514BBC1C"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(31) من قانون المرافعات المدنية. يشير جانب من الفقه العراقي بعد ذكر الفقرة (6) من المادة (31) من قانون المرافعات أن الأصل أن جميع الدعاوى من اختصاص محكمة البداءة ، إلا إذا نص قانو ما على جعلها من اختصاص جهة أخرى سواها ، سواء محكمة أو لجنة أو جهة إدارية أو غيرها . عماد حسن سلمان ، شرح قانون المرافعات المدنية ، مصدر سابق ، ص87. أي أنه يرى أن هذا النص هو الذي بموجبه يتحدد أن محكمة البداءة هي المحكمة صاحبة الولاية العامة في نظر كافة الدعاوى التي لا تكون من اختصاص محكمة أو جهة أخرى.</w:t>
      </w:r>
    </w:p>
  </w:footnote>
  <w:footnote w:id="43">
    <w:p w14:paraId="617C4EDE"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انظر المادة (33) من قانون المرافعات المدنية. ومنها قرارات القضاء المستعجل وقرارات الحجز الاحتياطي . باستثناء ما تختص به محكمة الموضوع بنظره من هذه المسائل المستعجلة إذا رفعت إليها بطريق التبعية أثناء السير في دعوى الموضوع . أنظر المادة (141/2) من قانون المرافعات المدنية. </w:t>
      </w:r>
    </w:p>
  </w:footnote>
  <w:footnote w:id="44">
    <w:p w14:paraId="78EA8C89"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(19) من قانون الرسوم العدلية رقم (14) لسنة 1981 المعدل.</w:t>
      </w:r>
    </w:p>
  </w:footnote>
  <w:footnote w:id="45">
    <w:p w14:paraId="591E6791"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انظر المادة (69/2/د) من قانون المصارف رقم (94) لسنة 2004 ، التي تنص (لا يجوز إقامة دعوى إفلاس ضد المصرف) . والمادة (70) التي تنص (لا ينطبق على المصارف قانون الإفلاس ، ولا أي أحكام تعدل قانون الإفلاس ، أو تحل محله كلياً أو جزئياً) . المادة (72) التي تشير إلى تقديم طلب الى محكمة الخدمات المالية.  </w:t>
      </w:r>
    </w:p>
  </w:footnote>
  <w:footnote w:id="46">
    <w:p w14:paraId="7E7812FE"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(158/أولاً/1) من قانون الشركات رقم (21) لسنة 1997 ، حيث اصبحت تصفية الشركة بقرار من الجمعية العمومية للشركة . والمادة (160) وبقرار من مسجل الشركات . وانظر المادة (194) التي تنص (تصفى الشركة البسيطة وفق ما هو منصوص عليه في عقدها ، وفي حالة وجود نص فبالطريقة التي يتفق عليها الشركاء بالإجماع ، وإلا فبقرار من المحكمة) . والمقصود بها محكمة البداءة صاحبة الولاية العامة في نظر المنازعات.</w:t>
      </w:r>
    </w:p>
  </w:footnote>
  <w:footnote w:id="47">
    <w:p w14:paraId="5F7D9B00"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(32) من قانون المرافعات المدنية.</w:t>
      </w:r>
    </w:p>
  </w:footnote>
  <w:footnote w:id="48">
    <w:p w14:paraId="70B02B3C"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(246) من قانون.</w:t>
      </w:r>
    </w:p>
  </w:footnote>
  <w:footnote w:id="49">
    <w:p w14:paraId="31778DA4" w14:textId="77777777" w:rsidR="003F5C52" w:rsidRPr="00DE5FF7" w:rsidRDefault="003F5C52" w:rsidP="000035A2">
      <w:pPr>
        <w:pStyle w:val="FootnoteText"/>
        <w:bidi/>
        <w:jc w:val="both"/>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قانون البنك المركزي العراقي رقم (56) لسنة 2004.</w:t>
      </w:r>
    </w:p>
  </w:footnote>
  <w:footnote w:id="50">
    <w:p w14:paraId="52819555" w14:textId="77777777" w:rsidR="003F5C52" w:rsidRPr="00DE5FF7" w:rsidRDefault="003F5C52" w:rsidP="000035A2">
      <w:pPr>
        <w:pStyle w:val="FootnoteText"/>
        <w:bidi/>
        <w:rPr>
          <w:rFonts w:asciiTheme="majorBidi" w:hAnsiTheme="majorBidi" w:cstheme="majorBidi"/>
          <w:sz w:val="24"/>
          <w:szCs w:val="24"/>
        </w:rPr>
      </w:pPr>
      <w:r w:rsidRPr="00DE5FF7">
        <w:rPr>
          <w:rFonts w:asciiTheme="majorBidi" w:hAnsiTheme="majorBidi" w:cstheme="majorBidi"/>
          <w:sz w:val="24"/>
          <w:szCs w:val="24"/>
          <w:vertAlign w:val="superscript"/>
        </w:rPr>
        <w:t>(</w:t>
      </w:r>
      <w:r w:rsidRPr="00DE5FF7">
        <w:rPr>
          <w:rFonts w:asciiTheme="majorBidi" w:hAnsiTheme="majorBidi" w:cstheme="majorBidi"/>
          <w:sz w:val="24"/>
          <w:szCs w:val="24"/>
          <w:vertAlign w:val="superscript"/>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(16) من قانون التنظيم القضائي المرقم (160) لسنة 1979.</w:t>
      </w:r>
    </w:p>
  </w:footnote>
  <w:footnote w:id="51">
    <w:p w14:paraId="504AC607" w14:textId="77777777" w:rsidR="003F5C52" w:rsidRPr="00DE5FF7" w:rsidRDefault="003F5C52" w:rsidP="000035A2">
      <w:pPr>
        <w:pStyle w:val="FootnoteText"/>
        <w:bidi/>
        <w:rPr>
          <w:rFonts w:asciiTheme="majorBidi" w:hAnsiTheme="majorBidi" w:cstheme="majorBidi"/>
          <w:sz w:val="24"/>
          <w:szCs w:val="24"/>
        </w:rPr>
      </w:pPr>
      <w:r w:rsidRPr="00DE5FF7">
        <w:rPr>
          <w:rFonts w:asciiTheme="majorBidi" w:hAnsiTheme="majorBidi" w:cstheme="majorBidi"/>
          <w:sz w:val="24"/>
          <w:szCs w:val="24"/>
          <w:vertAlign w:val="superscript"/>
        </w:rPr>
        <w:t>(</w:t>
      </w:r>
      <w:r w:rsidRPr="00DE5FF7">
        <w:rPr>
          <w:rFonts w:asciiTheme="majorBidi" w:hAnsiTheme="majorBidi" w:cstheme="majorBidi"/>
          <w:sz w:val="24"/>
          <w:szCs w:val="24"/>
          <w:vertAlign w:val="superscript"/>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د. عصمت عبد المجيد بكر ، أصول المرافعات المدنية ، مصدر سابق ، ص227.</w:t>
      </w:r>
    </w:p>
  </w:footnote>
  <w:footnote w:id="52">
    <w:p w14:paraId="5F9BE6D0" w14:textId="77777777" w:rsidR="003F5C52" w:rsidRPr="00DE5FF7" w:rsidRDefault="003F5C52" w:rsidP="000035A2">
      <w:pPr>
        <w:pStyle w:val="FootnoteText"/>
        <w:bidi/>
        <w:rPr>
          <w:rFonts w:asciiTheme="majorBidi" w:hAnsiTheme="majorBidi" w:cstheme="majorBidi"/>
          <w:sz w:val="24"/>
          <w:szCs w:val="24"/>
        </w:rPr>
      </w:pPr>
      <w:r w:rsidRPr="00DE5FF7">
        <w:rPr>
          <w:rFonts w:asciiTheme="majorBidi" w:hAnsiTheme="majorBidi" w:cstheme="majorBidi"/>
          <w:sz w:val="24"/>
          <w:szCs w:val="24"/>
          <w:vertAlign w:val="superscript"/>
        </w:rPr>
        <w:t>(</w:t>
      </w:r>
      <w:r w:rsidRPr="00DE5FF7">
        <w:rPr>
          <w:rFonts w:asciiTheme="majorBidi" w:hAnsiTheme="majorBidi" w:cstheme="majorBidi"/>
          <w:sz w:val="24"/>
          <w:szCs w:val="24"/>
          <w:vertAlign w:val="superscript"/>
        </w:rPr>
        <w:footnoteRef/>
      </w:r>
      <w:r w:rsidRPr="00DE5FF7">
        <w:rPr>
          <w:rFonts w:asciiTheme="majorBidi" w:hAnsiTheme="majorBidi" w:cstheme="majorBidi"/>
          <w:sz w:val="24"/>
          <w:szCs w:val="24"/>
          <w:rtl/>
        </w:rPr>
        <w:t xml:space="preserve"> انظر المادة (17) من قانون التنظيم القضائي رقم (160) لسنة 1979.</w:t>
      </w:r>
    </w:p>
  </w:footnote>
  <w:footnote w:id="53">
    <w:p w14:paraId="7AF2A575"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(193) من قانون المرافعات المدنية.</w:t>
      </w:r>
    </w:p>
  </w:footnote>
  <w:footnote w:id="54">
    <w:p w14:paraId="49C268EC" w14:textId="77777777" w:rsidR="003F5C52" w:rsidRPr="00DE5FF7" w:rsidRDefault="003F5C52" w:rsidP="000035A2">
      <w:pPr>
        <w:pStyle w:val="FootnoteText"/>
        <w:bidi/>
        <w:rPr>
          <w:rFonts w:asciiTheme="majorBidi" w:hAnsiTheme="majorBidi" w:cstheme="majorBidi"/>
          <w:sz w:val="24"/>
          <w:szCs w:val="24"/>
        </w:rPr>
      </w:pPr>
      <w:r w:rsidRPr="00DE5FF7">
        <w:rPr>
          <w:rFonts w:asciiTheme="majorBidi" w:hAnsiTheme="majorBidi" w:cstheme="majorBidi"/>
          <w:sz w:val="24"/>
          <w:szCs w:val="24"/>
          <w:vertAlign w:val="superscript"/>
        </w:rPr>
        <w:t>(</w:t>
      </w:r>
      <w:r w:rsidRPr="00DE5FF7">
        <w:rPr>
          <w:rFonts w:asciiTheme="majorBidi" w:hAnsiTheme="majorBidi" w:cstheme="majorBidi"/>
          <w:sz w:val="24"/>
          <w:szCs w:val="24"/>
          <w:vertAlign w:val="superscript"/>
        </w:rPr>
        <w:footnoteRef/>
      </w:r>
      <w:r w:rsidRPr="00DE5FF7">
        <w:rPr>
          <w:rFonts w:asciiTheme="majorBidi" w:hAnsiTheme="majorBidi" w:cstheme="majorBidi"/>
          <w:sz w:val="24"/>
          <w:szCs w:val="24"/>
          <w:rtl/>
        </w:rPr>
        <w:t xml:space="preserve"> انظر المادة (192) مرافعات مدنية.</w:t>
      </w:r>
    </w:p>
  </w:footnote>
  <w:footnote w:id="55">
    <w:p w14:paraId="42400378" w14:textId="77777777" w:rsidR="003F5C52" w:rsidRPr="00DE5FF7" w:rsidRDefault="003F5C52" w:rsidP="000035A2">
      <w:pPr>
        <w:pStyle w:val="FootnoteText"/>
        <w:bidi/>
        <w:rPr>
          <w:rFonts w:asciiTheme="majorBidi" w:hAnsiTheme="majorBidi" w:cstheme="majorBidi"/>
          <w:sz w:val="24"/>
          <w:szCs w:val="24"/>
        </w:rPr>
      </w:pPr>
      <w:r w:rsidRPr="00DE5FF7">
        <w:rPr>
          <w:rFonts w:asciiTheme="majorBidi" w:hAnsiTheme="majorBidi" w:cstheme="majorBidi"/>
          <w:sz w:val="24"/>
          <w:szCs w:val="24"/>
          <w:vertAlign w:val="superscript"/>
        </w:rPr>
        <w:t>(</w:t>
      </w:r>
      <w:r w:rsidRPr="00DE5FF7">
        <w:rPr>
          <w:rFonts w:asciiTheme="majorBidi" w:hAnsiTheme="majorBidi" w:cstheme="majorBidi"/>
          <w:sz w:val="24"/>
          <w:szCs w:val="24"/>
          <w:vertAlign w:val="superscript"/>
        </w:rPr>
        <w:footnoteRef/>
      </w:r>
      <w:r w:rsidRPr="00DE5FF7">
        <w:rPr>
          <w:rFonts w:asciiTheme="majorBidi" w:hAnsiTheme="majorBidi" w:cstheme="majorBidi"/>
          <w:sz w:val="24"/>
          <w:szCs w:val="24"/>
          <w:rtl/>
        </w:rPr>
        <w:t xml:space="preserve"> ينظر في ذلك د. أحمد هندي ،  قانون المرافعات المدنية والتجارية ، النهضة العربية ، القاهرة ، 2017، ص570.</w:t>
      </w:r>
    </w:p>
  </w:footnote>
  <w:footnote w:id="56">
    <w:p w14:paraId="2CD1F55A"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(34) من قانون المرافعات المدنية.</w:t>
      </w:r>
    </w:p>
  </w:footnote>
  <w:footnote w:id="57">
    <w:p w14:paraId="0DBE409C"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نص المادة (185) من قانون المرافعات المدنية.</w:t>
      </w:r>
    </w:p>
  </w:footnote>
  <w:footnote w:id="58">
    <w:p w14:paraId="56C15C04"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(287/1) من قانون المرافعات المدنية.</w:t>
      </w:r>
    </w:p>
  </w:footnote>
  <w:footnote w:id="59">
    <w:p w14:paraId="52F3D9E5"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(158/أولاً/1) من قانون الشركات رقم (21) لسنة 1997 ، حيث اصبحت تصفية الشركة بقرار من الجمعية العمومية للشركة . والمادة (160) وبقرار من مسجل الشركات . وانظر المادة (194) التي تنص (تصفى الشركة البسيطة وفق ما هو منصوص عليه في عقدها ، وفي حالة وجود نص فبالطريقة التي يتفق عليها الشركاء بالإجماع ، وإلا فبقرار من المحكمة) .</w:t>
      </w:r>
    </w:p>
  </w:footnote>
  <w:footnote w:id="60">
    <w:p w14:paraId="6FFB1B3A"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(564) من قانون التجارة رقم (149) لسنة 1970.</w:t>
      </w:r>
    </w:p>
  </w:footnote>
  <w:footnote w:id="61">
    <w:p w14:paraId="0F5075A3"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د. محمود محمد هاشم ، قانون القضاء المدني ، دار الفكر القانون ، جامعة عين شمس ، 1982 ، </w:t>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ص256.</w:t>
      </w:r>
    </w:p>
  </w:footnote>
  <w:footnote w:id="62">
    <w:p w14:paraId="1CBDA18B"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 د. محمود محمد هاشم، مصدر سابق ، ص258.</w:t>
      </w:r>
    </w:p>
  </w:footnote>
  <w:footnote w:id="63">
    <w:p w14:paraId="31EB153C"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القرار المرقم 134/الهيئة الموسعة المدنية/2019 في 19/6/2019 . المتضمن((لوحظ حصول تنازع سلبي في الاختصاص النوعي بين محكمة عمل بغداد ومحكمة بداءة الكرخ ، إذ ترى كل منهما أنها غير مختصة بنظر الدعوى المقامة من المدعي على رئيس جمعية الهلال الأحمر العراقي إضافة لوظيفته والتي طالب فيها المدعي إلغاء قرار اللجنة التحقيقية المشكلة في جمعية الهلال الأحمر العراقي وإلغاء التضمن وعدم المطالبة بالمبلغ الذي حددته اللجنة ، بعد اعتباره مقصراً لصرفه مبالغ خارج صلاحياته ، ولأن المادة 166/أولاً من قانون العمل رقم 37 لسنة 2015 حددت اختصاصات محكمة العمل بالنظر في الدعاوى والمنازعات المدنية والجزائية المنصوص عليها في هذا القانون وفي قانون التقاعد والضمان الاجتماعي للعمال والتشريعات الأخرى ، ولأن الدعوى تتعلق بعدم مطالبة بمبلغ تضمين ، فيكون الاختصاص منعقداً لمحكمة البداءة ويخرج عن اختصاص محكمة العمل)) . حيدر عودة كاظم ، المختار من قضاء محكمة التمييز الاتحادية ، ج /4 ، مصدر سابق ،  ص213.</w:t>
      </w:r>
    </w:p>
  </w:footnote>
  <w:footnote w:id="64">
    <w:p w14:paraId="229A5A11"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 د. محمود محمد هاشم ، قانون القضاء المدني ، مصدر سابق ، ص257.</w:t>
      </w:r>
    </w:p>
  </w:footnote>
  <w:footnote w:id="65">
    <w:p w14:paraId="167E0BA8" w14:textId="77777777" w:rsidR="003F5C52" w:rsidRPr="00DE5FF7" w:rsidRDefault="003F5C52" w:rsidP="000035A2">
      <w:pPr>
        <w:pStyle w:val="FootnoteText"/>
        <w:bidi/>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(216) من قانون المرافعات المدنية.</w:t>
      </w:r>
    </w:p>
  </w:footnote>
  <w:footnote w:id="66">
    <w:p w14:paraId="7C91D876" w14:textId="77777777" w:rsidR="003F5C52" w:rsidRPr="00DE5FF7" w:rsidRDefault="003F5C52" w:rsidP="000035A2">
      <w:pPr>
        <w:pStyle w:val="FootnoteText"/>
        <w:bidi/>
        <w:rPr>
          <w:rFonts w:asciiTheme="majorBidi" w:hAnsiTheme="majorBidi" w:cstheme="majorBidi"/>
          <w:sz w:val="24"/>
          <w:szCs w:val="24"/>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المادتين (79) و(216) من قانون المرافعات المدنية.</w:t>
      </w:r>
    </w:p>
  </w:footnote>
  <w:footnote w:id="67">
    <w:p w14:paraId="022A1C0F"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المادة (79) من قانون المرافعات المدنية ، التي تنص على أنه ((اذا رأت المحكمة المحالة عليها الدعوى أنها لا تختص بنظرها ، فيكون قرارها قابلاً للطعن به تمييزاً)).</w:t>
      </w:r>
    </w:p>
  </w:footnote>
  <w:footnote w:id="68">
    <w:p w14:paraId="24832239"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القرار المرقم 206/م/2007 في 7/5/2007 الصادر من محكمة استئناف بغداد الرصافة الاتحادية بصفتها التمييزية ، المتضمن ((قرار رفض الإحالة القابل للطعن تمييزاً هو الذي تصدره المحكمة التي أحيلت إليها الدعوى ، وليس قرار رفض طلب أحد الخصوم بالإحالة إلى محكمة أخرى)).</w:t>
      </w:r>
    </w:p>
  </w:footnote>
  <w:footnote w:id="69">
    <w:p w14:paraId="55C4B615" w14:textId="77777777" w:rsidR="003F5C52" w:rsidRPr="00DE5FF7"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انظر القرار المرقم 523/م/2006 في 26/3/2006 الصادر من محكمة استئناف بغداد الرصافة الاتحادية بصفتها التمييزية ، المتضمن ((وجد الطعن التمييزي ينصب على قرار رفض إحالة الدعوى إليها من قبل محكمة القضاء الإداري ، من حيث الاختصاص الوظيفي ، وقد وجد إن المادة (216) من الفقرة (1) من قانون المرافعات المدنية جوزت الطعن تمييزاً أمام محكمة الاستئناف بصفتها التمييزية بقرارات رفض الإحالة المتعلقة بالاختصاص القيمي أو المكاني ، ولم تنص على جواز الطعن تمييزاً بقرارات رفض الإحالة المتعلقة بالاختصاص الوظيفي ، مع ملاحظة ، إن البند (رابعاً) من المادة (7) من قانون مجلس شورى الدولة رقم (65) لسنة 1979 ، قد عالج موضوع تنازع اختصاص محكمة القضاء الإداري ومحكمة مدنية)) .</w:t>
      </w:r>
    </w:p>
  </w:footnote>
  <w:footnote w:id="70">
    <w:p w14:paraId="768A1825" w14:textId="77777777" w:rsidR="003F5C52" w:rsidRDefault="003F5C52" w:rsidP="000035A2">
      <w:pPr>
        <w:pStyle w:val="FootnoteText"/>
        <w:bidi/>
        <w:jc w:val="both"/>
        <w:rPr>
          <w:rFonts w:asciiTheme="majorBidi" w:hAnsiTheme="majorBidi" w:cstheme="majorBidi"/>
          <w:sz w:val="24"/>
          <w:szCs w:val="24"/>
          <w:rtl/>
        </w:rPr>
      </w:pPr>
      <w:r w:rsidRPr="00DE5FF7">
        <w:rPr>
          <w:rStyle w:val="FootnoteReference"/>
          <w:rFonts w:asciiTheme="majorBidi" w:hAnsiTheme="majorBidi" w:cstheme="majorBidi"/>
          <w:sz w:val="24"/>
          <w:szCs w:val="24"/>
        </w:rPr>
        <w:footnoteRef/>
      </w:r>
      <w:r w:rsidRPr="00DE5FF7">
        <w:rPr>
          <w:rFonts w:asciiTheme="majorBidi" w:hAnsiTheme="majorBidi" w:cstheme="majorBidi"/>
          <w:sz w:val="24"/>
          <w:szCs w:val="24"/>
          <w:vertAlign w:val="superscript"/>
          <w:rtl/>
        </w:rPr>
        <w:t xml:space="preserve">) </w:t>
      </w:r>
      <w:r w:rsidRPr="00DE5FF7">
        <w:rPr>
          <w:rFonts w:asciiTheme="majorBidi" w:hAnsiTheme="majorBidi" w:cstheme="majorBidi"/>
          <w:sz w:val="24"/>
          <w:szCs w:val="24"/>
          <w:rtl/>
        </w:rPr>
        <w:t xml:space="preserve">انظر القرار المرقم 150/الهيئة الموسعة المدنية/2022 في 25/5/2022 ، المتضمن ((قررت محكمة البداءة المختصة بنظر الدعاوى التجارية في النجف إحالة الدعوى إلى محكمة بداءة النجف للنظر فيها حسب الاختصاص النوعي استناداً لأحكام المادة (78) مرافعات مدنية . قررت محكمة بداءة النجف رفض الإحالة واعادة الدعوى إلى محكمتها استناداً لأحكام المادة (78) مرافعات مدنية ، قررت محكمة البداءة المختصة بنظر الدعاوى التجارية في النجف عرض الدعوى على محكمة التمييز الاتحادية لتحديد المحكمة المختصة نوعياً بنظرها)).  </w:t>
      </w:r>
    </w:p>
    <w:p w14:paraId="7893ACBD" w14:textId="77777777" w:rsidR="00C81585" w:rsidRDefault="00C81585" w:rsidP="00C81585">
      <w:pPr>
        <w:pStyle w:val="FootnoteText"/>
        <w:bidi/>
        <w:jc w:val="both"/>
        <w:rPr>
          <w:rFonts w:asciiTheme="majorBidi" w:hAnsiTheme="majorBidi" w:cstheme="majorBidi"/>
          <w:sz w:val="24"/>
          <w:szCs w:val="24"/>
          <w:rtl/>
        </w:rPr>
      </w:pPr>
    </w:p>
    <w:p w14:paraId="4A14DDEF" w14:textId="77777777" w:rsidR="00C81585" w:rsidRDefault="00C81585" w:rsidP="00C81585">
      <w:pPr>
        <w:pStyle w:val="FootnoteText"/>
        <w:bidi/>
        <w:jc w:val="both"/>
        <w:rPr>
          <w:rFonts w:asciiTheme="majorBidi" w:hAnsiTheme="majorBidi" w:cstheme="majorBidi"/>
          <w:sz w:val="24"/>
          <w:szCs w:val="24"/>
          <w:rtl/>
        </w:rPr>
      </w:pPr>
    </w:p>
    <w:p w14:paraId="2BEAB7CA" w14:textId="77777777" w:rsidR="00C81585" w:rsidRPr="00DE5FF7" w:rsidRDefault="00C81585" w:rsidP="00C81585">
      <w:pPr>
        <w:pStyle w:val="FootnoteText"/>
        <w:bidi/>
        <w:jc w:val="both"/>
        <w:rPr>
          <w:rFonts w:asciiTheme="majorBidi" w:hAnsiTheme="majorBidi" w:cstheme="majorBidi"/>
          <w:sz w:val="24"/>
          <w:szCs w:val="24"/>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6FE7" w14:textId="77777777" w:rsidR="00DE5FF7" w:rsidRPr="00992182" w:rsidRDefault="00DE5FF7" w:rsidP="00DE5FF7">
    <w:pPr>
      <w:pStyle w:val="Header"/>
      <w:rPr>
        <w:b/>
        <w:bCs/>
        <w:rtl/>
      </w:rPr>
    </w:pPr>
    <w:r>
      <w:rPr>
        <w:rtl/>
      </w:rPr>
      <w:tab/>
    </w:r>
    <w:r>
      <w:rPr>
        <w:rFonts w:ascii="Andalus" w:hAnsi="Andalus" w:cs="Andalus"/>
        <w:noProof/>
        <w:rtl/>
      </w:rPr>
      <w:drawing>
        <wp:anchor distT="0" distB="0" distL="114300" distR="114300" simplePos="0" relativeHeight="251688960" behindDoc="1" locked="0" layoutInCell="1" allowOverlap="1" wp14:anchorId="4F8F567A" wp14:editId="48F56AB9">
          <wp:simplePos x="0" y="0"/>
          <wp:positionH relativeFrom="margin">
            <wp:posOffset>-513080</wp:posOffset>
          </wp:positionH>
          <wp:positionV relativeFrom="margin">
            <wp:posOffset>-759172</wp:posOffset>
          </wp:positionV>
          <wp:extent cx="636270" cy="546100"/>
          <wp:effectExtent l="0" t="0" r="0" b="0"/>
          <wp:wrapThrough wrapText="bothSides">
            <wp:wrapPolygon edited="0">
              <wp:start x="7760" y="2009"/>
              <wp:lineTo x="4743" y="4521"/>
              <wp:lineTo x="862" y="9544"/>
              <wp:lineTo x="862" y="13060"/>
              <wp:lineTo x="4311" y="19088"/>
              <wp:lineTo x="5174" y="21098"/>
              <wp:lineTo x="15521" y="21098"/>
              <wp:lineTo x="19832" y="12558"/>
              <wp:lineTo x="20263" y="9544"/>
              <wp:lineTo x="15952" y="4521"/>
              <wp:lineTo x="12934" y="2009"/>
              <wp:lineTo x="7760" y="2009"/>
            </wp:wrapPolygon>
          </wp:wrapThrough>
          <wp:docPr id="213583246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634" name="صورة 186938634"/>
                  <pic:cNvPicPr/>
                </pic:nvPicPr>
                <pic:blipFill rotWithShape="1">
                  <a:blip r:embed="rId1">
                    <a:extLst>
                      <a:ext uri="{28A0092B-C50C-407E-A947-70E740481C1C}">
                        <a14:useLocalDpi xmlns:a14="http://schemas.microsoft.com/office/drawing/2010/main" val="0"/>
                      </a:ext>
                    </a:extLst>
                  </a:blip>
                  <a:srcRect l="5085" t="7861" r="-5085" b="17008"/>
                  <a:stretch>
                    <a:fillRect/>
                  </a:stretch>
                </pic:blipFill>
                <pic:spPr bwMode="auto">
                  <a:xfrm>
                    <a:off x="0" y="0"/>
                    <a:ext cx="636270" cy="54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A33">
      <w:rPr>
        <w:rFonts w:ascii="Andalus" w:hAnsi="Andalus" w:cs="Andalus"/>
        <w:noProof/>
        <w:rtl/>
      </w:rPr>
      <mc:AlternateContent>
        <mc:Choice Requires="wps">
          <w:drawing>
            <wp:anchor distT="45720" distB="45720" distL="114300" distR="114300" simplePos="0" relativeHeight="251689984" behindDoc="0" locked="0" layoutInCell="1" allowOverlap="1" wp14:anchorId="0A0C2456" wp14:editId="0EDAA4A7">
              <wp:simplePos x="0" y="0"/>
              <wp:positionH relativeFrom="column">
                <wp:posOffset>4857115</wp:posOffset>
              </wp:positionH>
              <wp:positionV relativeFrom="paragraph">
                <wp:posOffset>-19358</wp:posOffset>
              </wp:positionV>
              <wp:extent cx="1724025" cy="508635"/>
              <wp:effectExtent l="0" t="0" r="0" b="0"/>
              <wp:wrapSquare wrapText="bothSides"/>
              <wp:docPr id="19589493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508635"/>
                      </a:xfrm>
                      <a:prstGeom prst="rect">
                        <a:avLst/>
                      </a:prstGeom>
                      <a:noFill/>
                      <a:ln w="9525">
                        <a:noFill/>
                        <a:miter lim="800000"/>
                        <a:headEnd/>
                        <a:tailEnd/>
                      </a:ln>
                    </wps:spPr>
                    <wps:txbx>
                      <w:txbxContent>
                        <w:p w14:paraId="5B5BC06F" w14:textId="77777777" w:rsidR="00DE5FF7" w:rsidRPr="00495C71" w:rsidRDefault="00DE5FF7" w:rsidP="00DE5FF7">
                          <w:pPr>
                            <w:spacing w:after="0" w:line="14" w:lineRule="atLeast"/>
                            <w:jc w:val="center"/>
                            <w:rPr>
                              <w:rStyle w:val="Strong"/>
                              <w:rFonts w:cs="Calibri"/>
                              <w:sz w:val="20"/>
                              <w:szCs w:val="20"/>
                              <w:shd w:val="clear" w:color="auto" w:fill="FFFFFF"/>
                              <w:rtl/>
                            </w:rPr>
                          </w:pPr>
                          <w:r w:rsidRPr="00495C71">
                            <w:rPr>
                              <w:rStyle w:val="Strong"/>
                              <w:rFonts w:cs="Calibri"/>
                              <w:sz w:val="20"/>
                              <w:szCs w:val="20"/>
                              <w:shd w:val="clear" w:color="auto" w:fill="FFFFFF"/>
                            </w:rPr>
                            <w:t>ISSN (online): 3078-8692</w:t>
                          </w:r>
                          <w:r w:rsidRPr="00495C71">
                            <w:rPr>
                              <w:rStyle w:val="Strong"/>
                              <w:rFonts w:cs="Calibri"/>
                              <w:sz w:val="20"/>
                              <w:szCs w:val="20"/>
                              <w:shd w:val="clear" w:color="auto" w:fill="FFFFFF"/>
                              <w:rtl/>
                            </w:rPr>
                            <w:t xml:space="preserve"> </w:t>
                          </w:r>
                        </w:p>
                        <w:p w14:paraId="69F242FB" w14:textId="77777777" w:rsidR="00DE5FF7" w:rsidRPr="00495C71" w:rsidRDefault="00DE5FF7" w:rsidP="00DE5FF7">
                          <w:pPr>
                            <w:spacing w:after="0" w:line="14" w:lineRule="atLeast"/>
                            <w:jc w:val="center"/>
                            <w:rPr>
                              <w:rStyle w:val="Strong"/>
                              <w:rFonts w:cs="Calibri"/>
                              <w:sz w:val="20"/>
                              <w:szCs w:val="20"/>
                              <w:shd w:val="clear" w:color="auto" w:fill="FFFFFF"/>
                              <w:rtl/>
                              <w:lang w:bidi="ar-IQ"/>
                            </w:rPr>
                          </w:pPr>
                          <w:r w:rsidRPr="00495C71">
                            <w:rPr>
                              <w:rStyle w:val="Strong"/>
                              <w:rFonts w:cs="Calibri"/>
                              <w:sz w:val="20"/>
                              <w:szCs w:val="20"/>
                              <w:shd w:val="clear" w:color="auto" w:fill="FFFFFF"/>
                            </w:rPr>
                            <w:t>ISSN (print): 3078-8684</w:t>
                          </w:r>
                        </w:p>
                        <w:p w14:paraId="0E007D2A" w14:textId="77777777" w:rsidR="00DE5FF7" w:rsidRPr="00495C71" w:rsidRDefault="00DE5FF7" w:rsidP="00DE5FF7">
                          <w:pPr>
                            <w:spacing w:line="14" w:lineRule="atLeast"/>
                            <w:rPr>
                              <w:rFonts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C2456" id="_x0000_t202" coordsize="21600,21600" o:spt="202" path="m,l,21600r21600,l21600,xe">
              <v:stroke joinstyle="miter"/>
              <v:path gradientshapeok="t" o:connecttype="rect"/>
            </v:shapetype>
            <v:shape id="_x0000_s1027" type="#_x0000_t202" style="position:absolute;left:0;text-align:left;margin-left:382.45pt;margin-top:-1.5pt;width:135.75pt;height:40.0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" filled="f" stroked="f">
              <v:textbox>
                <w:txbxContent>
                  <w:p w14:paraId="5B5BC06F" w14:textId="77777777" w:rsidR="00DE5FF7" w:rsidRPr="00495C71" w:rsidRDefault="00DE5FF7" w:rsidP="00DE5FF7">
                    <w:pPr>
                      <w:spacing w:after="0" w:line="14" w:lineRule="atLeast"/>
                      <w:jc w:val="center"/>
                      <w:rPr>
                        <w:rStyle w:val="Strong"/>
                        <w:rFonts w:cs="Calibri"/>
                        <w:sz w:val="20"/>
                        <w:szCs w:val="20"/>
                        <w:shd w:val="clear" w:color="auto" w:fill="FFFFFF"/>
                        <w:rtl/>
                      </w:rPr>
                    </w:pPr>
                    <w:r w:rsidRPr="00495C71">
                      <w:rPr>
                        <w:rStyle w:val="Strong"/>
                        <w:rFonts w:cs="Calibri"/>
                        <w:sz w:val="20"/>
                        <w:szCs w:val="20"/>
                        <w:shd w:val="clear" w:color="auto" w:fill="FFFFFF"/>
                      </w:rPr>
                      <w:t>ISSN (online): 3078-8692</w:t>
                    </w:r>
                    <w:r w:rsidRPr="00495C71">
                      <w:rPr>
                        <w:rStyle w:val="Strong"/>
                        <w:rFonts w:cs="Calibri"/>
                        <w:sz w:val="20"/>
                        <w:szCs w:val="20"/>
                        <w:shd w:val="clear" w:color="auto" w:fill="FFFFFF"/>
                        <w:rtl/>
                      </w:rPr>
                      <w:t xml:space="preserve"> </w:t>
                    </w:r>
                  </w:p>
                  <w:p w14:paraId="69F242FB" w14:textId="77777777" w:rsidR="00DE5FF7" w:rsidRPr="00495C71" w:rsidRDefault="00DE5FF7" w:rsidP="00DE5FF7">
                    <w:pPr>
                      <w:spacing w:after="0" w:line="14" w:lineRule="atLeast"/>
                      <w:jc w:val="center"/>
                      <w:rPr>
                        <w:rStyle w:val="Strong"/>
                        <w:rFonts w:cs="Calibri"/>
                        <w:sz w:val="20"/>
                        <w:szCs w:val="20"/>
                        <w:shd w:val="clear" w:color="auto" w:fill="FFFFFF"/>
                        <w:rtl/>
                        <w:lang w:bidi="ar-IQ"/>
                      </w:rPr>
                    </w:pPr>
                    <w:r w:rsidRPr="00495C71">
                      <w:rPr>
                        <w:rStyle w:val="Strong"/>
                        <w:rFonts w:cs="Calibri"/>
                        <w:sz w:val="20"/>
                        <w:szCs w:val="20"/>
                        <w:shd w:val="clear" w:color="auto" w:fill="FFFFFF"/>
                      </w:rPr>
                      <w:t>ISSN (print): 3078-8684</w:t>
                    </w:r>
                  </w:p>
                  <w:p w14:paraId="0E007D2A" w14:textId="77777777" w:rsidR="00DE5FF7" w:rsidRPr="00495C71" w:rsidRDefault="00DE5FF7" w:rsidP="00DE5FF7">
                    <w:pPr>
                      <w:spacing w:line="14" w:lineRule="atLeast"/>
                      <w:rPr>
                        <w:rFonts w:cs="Calibri"/>
                        <w:sz w:val="20"/>
                        <w:szCs w:val="20"/>
                      </w:rPr>
                    </w:pPr>
                  </w:p>
                </w:txbxContent>
              </v:textbox>
              <w10:wrap type="square"/>
            </v:shape>
          </w:pict>
        </mc:Fallback>
      </mc:AlternateContent>
    </w:r>
    <w:r>
      <w:rPr>
        <w:rStyle w:val="Emphasis"/>
        <w:rFonts w:hint="cs"/>
        <w:b/>
        <w:bCs/>
        <w:rtl/>
      </w:rPr>
      <w:t xml:space="preserve">     </w:t>
    </w:r>
    <w:r w:rsidRPr="00992182">
      <w:rPr>
        <w:rStyle w:val="Emphasis"/>
        <w:b/>
        <w:bCs/>
      </w:rPr>
      <w:t>Al-Muthanna Journal for Legal and Political Sciences</w:t>
    </w:r>
    <w:r>
      <w:rPr>
        <w:rStyle w:val="Emphasis"/>
        <w:rFonts w:hint="cs"/>
        <w:b/>
        <w:bCs/>
      </w:rPr>
      <w:t xml:space="preserve"> </w:t>
    </w:r>
    <w:r>
      <w:rPr>
        <w:rStyle w:val="Emphasis"/>
        <w:rFonts w:hint="cs"/>
        <w:b/>
        <w:bCs/>
        <w:rtl/>
      </w:rPr>
      <w:t xml:space="preserve">      </w:t>
    </w:r>
  </w:p>
  <w:p w14:paraId="61A7BADF" w14:textId="77777777" w:rsidR="00DE5FF7" w:rsidRPr="00992182" w:rsidRDefault="00DE5FF7" w:rsidP="00DE5FF7">
    <w:pPr>
      <w:pStyle w:val="Header"/>
      <w:jc w:val="center"/>
      <w:rPr>
        <w:b/>
        <w:bCs/>
      </w:rPr>
    </w:pPr>
    <w:r>
      <w:rPr>
        <w:rFonts w:ascii="Andalus" w:hAnsi="Andalus" w:cs="Andalus"/>
        <w:noProof/>
        <w:rtl/>
      </w:rPr>
      <mc:AlternateContent>
        <mc:Choice Requires="wps">
          <w:drawing>
            <wp:anchor distT="0" distB="0" distL="114300" distR="114300" simplePos="0" relativeHeight="251691008" behindDoc="0" locked="0" layoutInCell="1" allowOverlap="1" wp14:anchorId="74EB50FD" wp14:editId="028EEE34">
              <wp:simplePos x="0" y="0"/>
              <wp:positionH relativeFrom="column">
                <wp:posOffset>-338524</wp:posOffset>
              </wp:positionH>
              <wp:positionV relativeFrom="paragraph">
                <wp:posOffset>315835</wp:posOffset>
              </wp:positionV>
              <wp:extent cx="6398483" cy="0"/>
              <wp:effectExtent l="25400" t="50800" r="27940" b="50800"/>
              <wp:wrapNone/>
              <wp:docPr id="839025297" name="رابط مستقيم 1"/>
              <wp:cNvGraphicFramePr/>
              <a:graphic xmlns:a="http://schemas.openxmlformats.org/drawingml/2006/main">
                <a:graphicData uri="http://schemas.microsoft.com/office/word/2010/wordprocessingShape">
                  <wps:wsp>
                    <wps:cNvCnPr/>
                    <wps:spPr>
                      <a:xfrm flipH="1" flipV="1">
                        <a:off x="0" y="0"/>
                        <a:ext cx="6398483" cy="0"/>
                      </a:xfrm>
                      <a:prstGeom prst="line">
                        <a:avLst/>
                      </a:prstGeom>
                      <a:ln w="47625" cap="flat" cmpd="tri">
                        <a:bevel/>
                      </a:ln>
                      <a:scene3d>
                        <a:camera prst="orthographicFront"/>
                        <a:lightRig rig="threePt" dir="t"/>
                      </a:scene3d>
                      <a:sp3d>
                        <a:bevelT/>
                      </a:sp3d>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01804" id="رابط مستقيم 1"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24.85pt" to="477.15pt,2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" strokecolor="#e97132 [3205]" strokeweight="3.75pt">
              <v:stroke linestyle="thickBetweenThin" joinstyle="bevel"/>
            </v:line>
          </w:pict>
        </mc:Fallback>
      </mc:AlternateContent>
    </w:r>
    <w:r w:rsidRPr="00992182">
      <w:rPr>
        <w:b/>
        <w:bCs/>
      </w:rPr>
      <w:t>Vol. 2, No. 2, 2025</w:t>
    </w:r>
    <w:r>
      <w:rPr>
        <w:b/>
        <w:bCs/>
        <w:rtl/>
      </w:rPr>
      <w:tab/>
    </w:r>
  </w:p>
  <w:p w14:paraId="2F6C6929" w14:textId="21B24860" w:rsidR="00DE5FF7" w:rsidRDefault="00DE5FF7" w:rsidP="00DE5FF7">
    <w:pPr>
      <w:pStyle w:val="Header"/>
      <w:tabs>
        <w:tab w:val="clear" w:pos="4153"/>
        <w:tab w:val="clear" w:pos="8306"/>
        <w:tab w:val="left" w:pos="296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3487" w14:textId="77777777" w:rsidR="00DE5FF7" w:rsidRPr="00992182" w:rsidRDefault="00DE5FF7" w:rsidP="00DE5FF7">
    <w:pPr>
      <w:pStyle w:val="Header"/>
      <w:rPr>
        <w:rFonts w:cs="Calibri"/>
        <w:b/>
        <w:bCs/>
        <w:i/>
        <w:iCs/>
        <w:sz w:val="24"/>
        <w:szCs w:val="24"/>
        <w:rtl/>
        <w:lang w:bidi="ar-DZ"/>
      </w:rPr>
    </w:pPr>
    <w:r>
      <w:rPr>
        <w:rFonts w:ascii="Andalus" w:hAnsi="Andalus" w:cs="Andalus"/>
        <w:noProof/>
        <w:rtl/>
      </w:rPr>
      <w:drawing>
        <wp:anchor distT="0" distB="0" distL="114300" distR="114300" simplePos="0" relativeHeight="251685888" behindDoc="1" locked="0" layoutInCell="1" allowOverlap="1" wp14:anchorId="35C898D4" wp14:editId="6B9BDAE6">
          <wp:simplePos x="0" y="0"/>
          <wp:positionH relativeFrom="margin">
            <wp:posOffset>-341630</wp:posOffset>
          </wp:positionH>
          <wp:positionV relativeFrom="margin">
            <wp:posOffset>-770756</wp:posOffset>
          </wp:positionV>
          <wp:extent cx="561975" cy="546100"/>
          <wp:effectExtent l="0" t="0" r="0" b="6350"/>
          <wp:wrapThrough wrapText="bothSides">
            <wp:wrapPolygon edited="0">
              <wp:start x="5858" y="1507"/>
              <wp:lineTo x="2197" y="6781"/>
              <wp:lineTo x="732" y="11302"/>
              <wp:lineTo x="1464" y="15070"/>
              <wp:lineTo x="4393" y="21098"/>
              <wp:lineTo x="5125" y="21098"/>
              <wp:lineTo x="16108" y="21098"/>
              <wp:lineTo x="16841" y="21098"/>
              <wp:lineTo x="19769" y="15070"/>
              <wp:lineTo x="20502" y="11302"/>
              <wp:lineTo x="19037" y="6781"/>
              <wp:lineTo x="15376" y="1507"/>
              <wp:lineTo x="5858" y="1507"/>
            </wp:wrapPolygon>
          </wp:wrapThrough>
          <wp:docPr id="181263020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634" name="صورة 186938634"/>
                  <pic:cNvPicPr/>
                </pic:nvPicPr>
                <pic:blipFill rotWithShape="1">
                  <a:blip r:embed="rId1">
                    <a:extLst>
                      <a:ext uri="{28A0092B-C50C-407E-A947-70E740481C1C}">
                        <a14:useLocalDpi xmlns:a14="http://schemas.microsoft.com/office/drawing/2010/main" val="0"/>
                      </a:ext>
                    </a:extLst>
                  </a:blip>
                  <a:srcRect l="5085" t="7861" r="-5085" b="17008"/>
                  <a:stretch>
                    <a:fillRect/>
                  </a:stretch>
                </pic:blipFill>
                <pic:spPr bwMode="auto">
                  <a:xfrm>
                    <a:off x="0" y="0"/>
                    <a:ext cx="561975" cy="54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A33">
      <w:rPr>
        <w:rFonts w:ascii="Andalus" w:hAnsi="Andalus" w:cs="Andalus"/>
        <w:noProof/>
        <w:rtl/>
      </w:rPr>
      <mc:AlternateContent>
        <mc:Choice Requires="wps">
          <w:drawing>
            <wp:anchor distT="45720" distB="45720" distL="114300" distR="114300" simplePos="0" relativeHeight="251686912" behindDoc="0" locked="0" layoutInCell="1" allowOverlap="1" wp14:anchorId="55299A3F" wp14:editId="380F43EB">
              <wp:simplePos x="0" y="0"/>
              <wp:positionH relativeFrom="column">
                <wp:posOffset>4379664</wp:posOffset>
              </wp:positionH>
              <wp:positionV relativeFrom="paragraph">
                <wp:posOffset>-87991</wp:posOffset>
              </wp:positionV>
              <wp:extent cx="1724025" cy="508635"/>
              <wp:effectExtent l="0" t="0" r="0" b="0"/>
              <wp:wrapSquare wrapText="bothSides"/>
              <wp:docPr id="5195668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508635"/>
                      </a:xfrm>
                      <a:prstGeom prst="rect">
                        <a:avLst/>
                      </a:prstGeom>
                      <a:noFill/>
                      <a:ln w="9525">
                        <a:noFill/>
                        <a:miter lim="800000"/>
                        <a:headEnd/>
                        <a:tailEnd/>
                      </a:ln>
                    </wps:spPr>
                    <wps:txbx>
                      <w:txbxContent>
                        <w:p w14:paraId="7E232E6B" w14:textId="77777777" w:rsidR="00DE5FF7" w:rsidRPr="00495C71" w:rsidRDefault="00DE5FF7" w:rsidP="00DE5FF7">
                          <w:pPr>
                            <w:spacing w:after="0" w:line="14" w:lineRule="atLeast"/>
                            <w:jc w:val="center"/>
                            <w:rPr>
                              <w:rStyle w:val="Strong"/>
                              <w:rFonts w:cs="Calibri"/>
                              <w:sz w:val="20"/>
                              <w:szCs w:val="20"/>
                              <w:shd w:val="clear" w:color="auto" w:fill="FFFFFF"/>
                              <w:rtl/>
                            </w:rPr>
                          </w:pPr>
                          <w:r w:rsidRPr="00495C71">
                            <w:rPr>
                              <w:rStyle w:val="Strong"/>
                              <w:rFonts w:cs="Calibri"/>
                              <w:sz w:val="20"/>
                              <w:szCs w:val="20"/>
                              <w:shd w:val="clear" w:color="auto" w:fill="FFFFFF"/>
                            </w:rPr>
                            <w:t>ISSN (online): 3078-8692</w:t>
                          </w:r>
                          <w:r w:rsidRPr="00495C71">
                            <w:rPr>
                              <w:rStyle w:val="Strong"/>
                              <w:rFonts w:cs="Calibri"/>
                              <w:sz w:val="20"/>
                              <w:szCs w:val="20"/>
                              <w:shd w:val="clear" w:color="auto" w:fill="FFFFFF"/>
                              <w:rtl/>
                            </w:rPr>
                            <w:t xml:space="preserve"> </w:t>
                          </w:r>
                        </w:p>
                        <w:p w14:paraId="26B8C6CB" w14:textId="77777777" w:rsidR="00DE5FF7" w:rsidRPr="00495C71" w:rsidRDefault="00DE5FF7" w:rsidP="00DE5FF7">
                          <w:pPr>
                            <w:spacing w:after="0" w:line="14" w:lineRule="atLeast"/>
                            <w:jc w:val="center"/>
                            <w:rPr>
                              <w:rStyle w:val="Strong"/>
                              <w:rFonts w:cs="Calibri"/>
                              <w:sz w:val="20"/>
                              <w:szCs w:val="20"/>
                              <w:shd w:val="clear" w:color="auto" w:fill="FFFFFF"/>
                              <w:rtl/>
                              <w:lang w:bidi="ar-IQ"/>
                            </w:rPr>
                          </w:pPr>
                          <w:r w:rsidRPr="00495C71">
                            <w:rPr>
                              <w:rStyle w:val="Strong"/>
                              <w:rFonts w:cs="Calibri"/>
                              <w:sz w:val="20"/>
                              <w:szCs w:val="20"/>
                              <w:shd w:val="clear" w:color="auto" w:fill="FFFFFF"/>
                            </w:rPr>
                            <w:t>ISSN (print): 3078-8684</w:t>
                          </w:r>
                        </w:p>
                        <w:p w14:paraId="19AF2042" w14:textId="77777777" w:rsidR="00DE5FF7" w:rsidRPr="00495C71" w:rsidRDefault="00DE5FF7" w:rsidP="00DE5FF7">
                          <w:pPr>
                            <w:spacing w:line="14" w:lineRule="atLeast"/>
                            <w:rPr>
                              <w:rFonts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99A3F" id="_x0000_t202" coordsize="21600,21600" o:spt="202" path="m,l,21600r21600,l21600,xe">
              <v:stroke joinstyle="miter"/>
              <v:path gradientshapeok="t" o:connecttype="rect"/>
            </v:shapetype>
            <v:shape id="_x0000_s1028" type="#_x0000_t202" style="position:absolute;left:0;text-align:left;margin-left:344.85pt;margin-top:-6.95pt;width:135.75pt;height:40.05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" filled="f" stroked="f">
              <v:textbox>
                <w:txbxContent>
                  <w:p w14:paraId="7E232E6B" w14:textId="77777777" w:rsidR="00DE5FF7" w:rsidRPr="00495C71" w:rsidRDefault="00DE5FF7" w:rsidP="00DE5FF7">
                    <w:pPr>
                      <w:spacing w:after="0" w:line="14" w:lineRule="atLeast"/>
                      <w:jc w:val="center"/>
                      <w:rPr>
                        <w:rStyle w:val="Strong"/>
                        <w:rFonts w:cs="Calibri"/>
                        <w:sz w:val="20"/>
                        <w:szCs w:val="20"/>
                        <w:shd w:val="clear" w:color="auto" w:fill="FFFFFF"/>
                        <w:rtl/>
                      </w:rPr>
                    </w:pPr>
                    <w:r w:rsidRPr="00495C71">
                      <w:rPr>
                        <w:rStyle w:val="Strong"/>
                        <w:rFonts w:cs="Calibri"/>
                        <w:sz w:val="20"/>
                        <w:szCs w:val="20"/>
                        <w:shd w:val="clear" w:color="auto" w:fill="FFFFFF"/>
                      </w:rPr>
                      <w:t>ISSN (online): 3078-8692</w:t>
                    </w:r>
                    <w:r w:rsidRPr="00495C71">
                      <w:rPr>
                        <w:rStyle w:val="Strong"/>
                        <w:rFonts w:cs="Calibri"/>
                        <w:sz w:val="20"/>
                        <w:szCs w:val="20"/>
                        <w:shd w:val="clear" w:color="auto" w:fill="FFFFFF"/>
                        <w:rtl/>
                      </w:rPr>
                      <w:t xml:space="preserve"> </w:t>
                    </w:r>
                  </w:p>
                  <w:p w14:paraId="26B8C6CB" w14:textId="77777777" w:rsidR="00DE5FF7" w:rsidRPr="00495C71" w:rsidRDefault="00DE5FF7" w:rsidP="00DE5FF7">
                    <w:pPr>
                      <w:spacing w:after="0" w:line="14" w:lineRule="atLeast"/>
                      <w:jc w:val="center"/>
                      <w:rPr>
                        <w:rStyle w:val="Strong"/>
                        <w:rFonts w:cs="Calibri"/>
                        <w:sz w:val="20"/>
                        <w:szCs w:val="20"/>
                        <w:shd w:val="clear" w:color="auto" w:fill="FFFFFF"/>
                        <w:rtl/>
                        <w:lang w:bidi="ar-IQ"/>
                      </w:rPr>
                    </w:pPr>
                    <w:r w:rsidRPr="00495C71">
                      <w:rPr>
                        <w:rStyle w:val="Strong"/>
                        <w:rFonts w:cs="Calibri"/>
                        <w:sz w:val="20"/>
                        <w:szCs w:val="20"/>
                        <w:shd w:val="clear" w:color="auto" w:fill="FFFFFF"/>
                      </w:rPr>
                      <w:t>ISSN (print): 3078-8684</w:t>
                    </w:r>
                  </w:p>
                  <w:p w14:paraId="19AF2042" w14:textId="77777777" w:rsidR="00DE5FF7" w:rsidRPr="00495C71" w:rsidRDefault="00DE5FF7" w:rsidP="00DE5FF7">
                    <w:pPr>
                      <w:spacing w:line="14" w:lineRule="atLeast"/>
                      <w:rPr>
                        <w:rFonts w:cs="Calibri"/>
                        <w:sz w:val="20"/>
                        <w:szCs w:val="20"/>
                      </w:rPr>
                    </w:pPr>
                  </w:p>
                </w:txbxContent>
              </v:textbox>
              <w10:wrap type="square"/>
            </v:shape>
          </w:pict>
        </mc:Fallback>
      </mc:AlternateContent>
    </w:r>
    <w:r>
      <w:rPr>
        <w:rFonts w:asciiTheme="majorBidi" w:hAnsiTheme="majorBidi" w:cstheme="majorBidi" w:hint="cs"/>
        <w:b/>
        <w:bCs/>
        <w:sz w:val="24"/>
        <w:szCs w:val="24"/>
        <w:rtl/>
      </w:rPr>
      <w:t xml:space="preserve">                 </w:t>
    </w:r>
    <w:r w:rsidRPr="00992182">
      <w:rPr>
        <w:rFonts w:cs="Calibri"/>
        <w:b/>
        <w:bCs/>
        <w:i/>
        <w:iCs/>
        <w:sz w:val="24"/>
        <w:szCs w:val="24"/>
        <w:rtl/>
      </w:rPr>
      <w:t>ا</w:t>
    </w:r>
    <w:r w:rsidRPr="00992182">
      <w:rPr>
        <w:rFonts w:cs="Calibri"/>
        <w:b/>
        <w:bCs/>
        <w:i/>
        <w:iCs/>
        <w:sz w:val="24"/>
        <w:szCs w:val="24"/>
        <w:rtl/>
        <w:lang w:bidi="ar-DZ"/>
      </w:rPr>
      <w:t>لمثنى للعلوم القانونية والسياسية</w:t>
    </w:r>
  </w:p>
  <w:p w14:paraId="216D13DC" w14:textId="77777777" w:rsidR="00DE5FF7" w:rsidRPr="00992182" w:rsidRDefault="00DE5FF7" w:rsidP="00DE5FF7">
    <w:pPr>
      <w:pStyle w:val="Header"/>
      <w:rPr>
        <w:rFonts w:cs="Calibri"/>
        <w:b/>
        <w:bCs/>
        <w:i/>
        <w:iCs/>
        <w:sz w:val="24"/>
        <w:szCs w:val="24"/>
        <w:rtl/>
        <w:lang w:bidi="ar-IQ"/>
      </w:rPr>
    </w:pPr>
    <w:r w:rsidRPr="00992182">
      <w:rPr>
        <w:rFonts w:cs="Calibri"/>
        <w:b/>
        <w:bCs/>
        <w:i/>
        <w:iCs/>
        <w:sz w:val="24"/>
        <w:szCs w:val="24"/>
        <w:rtl/>
        <w:lang w:bidi="ar-DZ"/>
      </w:rPr>
      <w:t xml:space="preserve">                    المجلد (2) العدد 2</w:t>
    </w:r>
    <w:r w:rsidRPr="00992182">
      <w:rPr>
        <w:rFonts w:cs="Calibri"/>
        <w:b/>
        <w:bCs/>
        <w:i/>
        <w:iCs/>
        <w:sz w:val="24"/>
        <w:szCs w:val="24"/>
        <w:rtl/>
      </w:rPr>
      <w:t xml:space="preserve"> / 2025</w:t>
    </w:r>
  </w:p>
  <w:p w14:paraId="32F4266A" w14:textId="57D6CEB3" w:rsidR="00B0083D" w:rsidRPr="00B0083D" w:rsidRDefault="00DE5FF7" w:rsidP="00DE5FF7">
    <w:pPr>
      <w:pStyle w:val="Header"/>
      <w:jc w:val="center"/>
      <w:rPr>
        <w:rFonts w:ascii="Andalus" w:hAnsi="Andalus" w:cs="Andalus"/>
        <w:lang w:bidi="ar-IQ"/>
      </w:rPr>
    </w:pPr>
    <w:r>
      <w:rPr>
        <w:rFonts w:ascii="Andalus" w:hAnsi="Andalus" w:cs="Andalus"/>
        <w:noProof/>
        <w:rtl/>
      </w:rPr>
      <mc:AlternateContent>
        <mc:Choice Requires="wps">
          <w:drawing>
            <wp:anchor distT="0" distB="0" distL="114300" distR="114300" simplePos="0" relativeHeight="251684864" behindDoc="0" locked="0" layoutInCell="1" allowOverlap="1" wp14:anchorId="3CAD70D4" wp14:editId="64CE426A">
              <wp:simplePos x="0" y="0"/>
              <wp:positionH relativeFrom="column">
                <wp:posOffset>-548640</wp:posOffset>
              </wp:positionH>
              <wp:positionV relativeFrom="paragraph">
                <wp:posOffset>145147</wp:posOffset>
              </wp:positionV>
              <wp:extent cx="6948994" cy="0"/>
              <wp:effectExtent l="25400" t="50800" r="36195" b="50800"/>
              <wp:wrapNone/>
              <wp:docPr id="1133388002" name="رابط مستقيم 1"/>
              <wp:cNvGraphicFramePr/>
              <a:graphic xmlns:a="http://schemas.openxmlformats.org/drawingml/2006/main">
                <a:graphicData uri="http://schemas.microsoft.com/office/word/2010/wordprocessingShape">
                  <wps:wsp>
                    <wps:cNvCnPr/>
                    <wps:spPr>
                      <a:xfrm flipH="1" flipV="1">
                        <a:off x="0" y="0"/>
                        <a:ext cx="6948994" cy="0"/>
                      </a:xfrm>
                      <a:prstGeom prst="line">
                        <a:avLst/>
                      </a:prstGeom>
                      <a:ln w="47625" cap="flat" cmpd="tri">
                        <a:bevel/>
                      </a:ln>
                      <a:scene3d>
                        <a:camera prst="orthographicFront"/>
                        <a:lightRig rig="threePt" dir="t"/>
                      </a:scene3d>
                      <a:sp3d>
                        <a:bevelT/>
                      </a:sp3d>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DBF6C" id="رابط مستقيم 1"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11.45pt" to="503.95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" strokecolor="#e97132 [3205]" strokeweight="3.75pt">
              <v:stroke linestyle="thickBetweenThin" joinstyle="bevel"/>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75E4" w14:textId="4BAC5A56" w:rsidR="00DE5FF7" w:rsidRPr="00992182" w:rsidRDefault="00DE5FF7" w:rsidP="00DE5FF7">
    <w:pPr>
      <w:pStyle w:val="Header"/>
      <w:rPr>
        <w:rFonts w:cs="Calibri"/>
        <w:b/>
        <w:bCs/>
        <w:i/>
        <w:iCs/>
        <w:sz w:val="24"/>
        <w:szCs w:val="24"/>
        <w:rtl/>
        <w:lang w:bidi="ar-DZ"/>
      </w:rPr>
    </w:pPr>
    <w:r>
      <w:rPr>
        <w:rFonts w:ascii="Andalus" w:hAnsi="Andalus" w:cs="Andalus"/>
        <w:noProof/>
        <w:rtl/>
      </w:rPr>
      <w:drawing>
        <wp:anchor distT="0" distB="0" distL="114300" distR="114300" simplePos="0" relativeHeight="251679744" behindDoc="1" locked="0" layoutInCell="1" allowOverlap="1" wp14:anchorId="5818B8FB" wp14:editId="4D71A90B">
          <wp:simplePos x="0" y="0"/>
          <wp:positionH relativeFrom="margin">
            <wp:posOffset>-341630</wp:posOffset>
          </wp:positionH>
          <wp:positionV relativeFrom="margin">
            <wp:posOffset>-770756</wp:posOffset>
          </wp:positionV>
          <wp:extent cx="561975" cy="546100"/>
          <wp:effectExtent l="0" t="0" r="0" b="6350"/>
          <wp:wrapThrough wrapText="bothSides">
            <wp:wrapPolygon edited="0">
              <wp:start x="5858" y="1507"/>
              <wp:lineTo x="2197" y="6781"/>
              <wp:lineTo x="732" y="11302"/>
              <wp:lineTo x="1464" y="15070"/>
              <wp:lineTo x="4393" y="21098"/>
              <wp:lineTo x="5125" y="21098"/>
              <wp:lineTo x="16108" y="21098"/>
              <wp:lineTo x="16841" y="21098"/>
              <wp:lineTo x="19769" y="15070"/>
              <wp:lineTo x="20502" y="11302"/>
              <wp:lineTo x="19037" y="6781"/>
              <wp:lineTo x="15376" y="1507"/>
              <wp:lineTo x="5858" y="1507"/>
            </wp:wrapPolygon>
          </wp:wrapThrough>
          <wp:docPr id="110004433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634" name="صورة 186938634"/>
                  <pic:cNvPicPr/>
                </pic:nvPicPr>
                <pic:blipFill rotWithShape="1">
                  <a:blip r:embed="rId1">
                    <a:extLst>
                      <a:ext uri="{28A0092B-C50C-407E-A947-70E740481C1C}">
                        <a14:useLocalDpi xmlns:a14="http://schemas.microsoft.com/office/drawing/2010/main" val="0"/>
                      </a:ext>
                    </a:extLst>
                  </a:blip>
                  <a:srcRect l="5085" t="7861" r="-5085" b="17008"/>
                  <a:stretch>
                    <a:fillRect/>
                  </a:stretch>
                </pic:blipFill>
                <pic:spPr bwMode="auto">
                  <a:xfrm>
                    <a:off x="0" y="0"/>
                    <a:ext cx="561975" cy="54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A33">
      <w:rPr>
        <w:rFonts w:ascii="Andalus" w:hAnsi="Andalus" w:cs="Andalus"/>
        <w:noProof/>
        <w:rtl/>
      </w:rPr>
      <mc:AlternateContent>
        <mc:Choice Requires="wps">
          <w:drawing>
            <wp:anchor distT="45720" distB="45720" distL="114300" distR="114300" simplePos="0" relativeHeight="251680768" behindDoc="0" locked="0" layoutInCell="1" allowOverlap="1" wp14:anchorId="3A9089B7" wp14:editId="15A1F374">
              <wp:simplePos x="0" y="0"/>
              <wp:positionH relativeFrom="column">
                <wp:posOffset>4379664</wp:posOffset>
              </wp:positionH>
              <wp:positionV relativeFrom="paragraph">
                <wp:posOffset>-87991</wp:posOffset>
              </wp:positionV>
              <wp:extent cx="1724025" cy="508635"/>
              <wp:effectExtent l="0" t="0" r="0" b="0"/>
              <wp:wrapSquare wrapText="bothSides"/>
              <wp:docPr id="30212055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508635"/>
                      </a:xfrm>
                      <a:prstGeom prst="rect">
                        <a:avLst/>
                      </a:prstGeom>
                      <a:noFill/>
                      <a:ln w="9525">
                        <a:noFill/>
                        <a:miter lim="800000"/>
                        <a:headEnd/>
                        <a:tailEnd/>
                      </a:ln>
                    </wps:spPr>
                    <wps:txbx>
                      <w:txbxContent>
                        <w:p w14:paraId="1D4EF1AA" w14:textId="77777777" w:rsidR="00DE5FF7" w:rsidRPr="00495C71" w:rsidRDefault="00DE5FF7" w:rsidP="00DE5FF7">
                          <w:pPr>
                            <w:spacing w:after="0" w:line="14" w:lineRule="atLeast"/>
                            <w:jc w:val="center"/>
                            <w:rPr>
                              <w:rStyle w:val="Strong"/>
                              <w:rFonts w:cs="Calibri"/>
                              <w:sz w:val="20"/>
                              <w:szCs w:val="20"/>
                              <w:shd w:val="clear" w:color="auto" w:fill="FFFFFF"/>
                              <w:rtl/>
                            </w:rPr>
                          </w:pPr>
                          <w:r w:rsidRPr="00495C71">
                            <w:rPr>
                              <w:rStyle w:val="Strong"/>
                              <w:rFonts w:cs="Calibri"/>
                              <w:sz w:val="20"/>
                              <w:szCs w:val="20"/>
                              <w:shd w:val="clear" w:color="auto" w:fill="FFFFFF"/>
                            </w:rPr>
                            <w:t>ISSN (online): 3078-8692</w:t>
                          </w:r>
                          <w:r w:rsidRPr="00495C71">
                            <w:rPr>
                              <w:rStyle w:val="Strong"/>
                              <w:rFonts w:cs="Calibri"/>
                              <w:sz w:val="20"/>
                              <w:szCs w:val="20"/>
                              <w:shd w:val="clear" w:color="auto" w:fill="FFFFFF"/>
                              <w:rtl/>
                            </w:rPr>
                            <w:t xml:space="preserve"> </w:t>
                          </w:r>
                        </w:p>
                        <w:p w14:paraId="7899C2C6" w14:textId="77777777" w:rsidR="00DE5FF7" w:rsidRPr="00495C71" w:rsidRDefault="00DE5FF7" w:rsidP="00DE5FF7">
                          <w:pPr>
                            <w:spacing w:after="0" w:line="14" w:lineRule="atLeast"/>
                            <w:jc w:val="center"/>
                            <w:rPr>
                              <w:rStyle w:val="Strong"/>
                              <w:rFonts w:cs="Calibri"/>
                              <w:sz w:val="20"/>
                              <w:szCs w:val="20"/>
                              <w:shd w:val="clear" w:color="auto" w:fill="FFFFFF"/>
                              <w:rtl/>
                              <w:lang w:bidi="ar-IQ"/>
                            </w:rPr>
                          </w:pPr>
                          <w:r w:rsidRPr="00495C71">
                            <w:rPr>
                              <w:rStyle w:val="Strong"/>
                              <w:rFonts w:cs="Calibri"/>
                              <w:sz w:val="20"/>
                              <w:szCs w:val="20"/>
                              <w:shd w:val="clear" w:color="auto" w:fill="FFFFFF"/>
                            </w:rPr>
                            <w:t>ISSN (print): 3078-8684</w:t>
                          </w:r>
                        </w:p>
                        <w:p w14:paraId="3DD212BA" w14:textId="77777777" w:rsidR="00DE5FF7" w:rsidRPr="00495C71" w:rsidRDefault="00DE5FF7" w:rsidP="00DE5FF7">
                          <w:pPr>
                            <w:spacing w:line="14" w:lineRule="atLeast"/>
                            <w:rPr>
                              <w:rFonts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089B7" id="_x0000_t202" coordsize="21600,21600" o:spt="202" path="m,l,21600r21600,l21600,xe">
              <v:stroke joinstyle="miter"/>
              <v:path gradientshapeok="t" o:connecttype="rect"/>
            </v:shapetype>
            <v:shape id="_x0000_s1031" type="#_x0000_t202" style="position:absolute;left:0;text-align:left;margin-left:344.85pt;margin-top:-6.95pt;width:135.75pt;height:40.05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" filled="f" stroked="f">
              <v:textbox>
                <w:txbxContent>
                  <w:p w14:paraId="1D4EF1AA" w14:textId="77777777" w:rsidR="00DE5FF7" w:rsidRPr="00495C71" w:rsidRDefault="00DE5FF7" w:rsidP="00DE5FF7">
                    <w:pPr>
                      <w:spacing w:after="0" w:line="14" w:lineRule="atLeast"/>
                      <w:jc w:val="center"/>
                      <w:rPr>
                        <w:rStyle w:val="Strong"/>
                        <w:rFonts w:cs="Calibri"/>
                        <w:sz w:val="20"/>
                        <w:szCs w:val="20"/>
                        <w:shd w:val="clear" w:color="auto" w:fill="FFFFFF"/>
                        <w:rtl/>
                      </w:rPr>
                    </w:pPr>
                    <w:r w:rsidRPr="00495C71">
                      <w:rPr>
                        <w:rStyle w:val="Strong"/>
                        <w:rFonts w:cs="Calibri"/>
                        <w:sz w:val="20"/>
                        <w:szCs w:val="20"/>
                        <w:shd w:val="clear" w:color="auto" w:fill="FFFFFF"/>
                      </w:rPr>
                      <w:t>ISSN (online): 3078-8692</w:t>
                    </w:r>
                    <w:r w:rsidRPr="00495C71">
                      <w:rPr>
                        <w:rStyle w:val="Strong"/>
                        <w:rFonts w:cs="Calibri"/>
                        <w:sz w:val="20"/>
                        <w:szCs w:val="20"/>
                        <w:shd w:val="clear" w:color="auto" w:fill="FFFFFF"/>
                        <w:rtl/>
                      </w:rPr>
                      <w:t xml:space="preserve"> </w:t>
                    </w:r>
                  </w:p>
                  <w:p w14:paraId="7899C2C6" w14:textId="77777777" w:rsidR="00DE5FF7" w:rsidRPr="00495C71" w:rsidRDefault="00DE5FF7" w:rsidP="00DE5FF7">
                    <w:pPr>
                      <w:spacing w:after="0" w:line="14" w:lineRule="atLeast"/>
                      <w:jc w:val="center"/>
                      <w:rPr>
                        <w:rStyle w:val="Strong"/>
                        <w:rFonts w:cs="Calibri"/>
                        <w:sz w:val="20"/>
                        <w:szCs w:val="20"/>
                        <w:shd w:val="clear" w:color="auto" w:fill="FFFFFF"/>
                        <w:rtl/>
                        <w:lang w:bidi="ar-IQ"/>
                      </w:rPr>
                    </w:pPr>
                    <w:r w:rsidRPr="00495C71">
                      <w:rPr>
                        <w:rStyle w:val="Strong"/>
                        <w:rFonts w:cs="Calibri"/>
                        <w:sz w:val="20"/>
                        <w:szCs w:val="20"/>
                        <w:shd w:val="clear" w:color="auto" w:fill="FFFFFF"/>
                      </w:rPr>
                      <w:t>ISSN (print): 3078-8684</w:t>
                    </w:r>
                  </w:p>
                  <w:p w14:paraId="3DD212BA" w14:textId="77777777" w:rsidR="00DE5FF7" w:rsidRPr="00495C71" w:rsidRDefault="00DE5FF7" w:rsidP="00DE5FF7">
                    <w:pPr>
                      <w:spacing w:line="14" w:lineRule="atLeast"/>
                      <w:rPr>
                        <w:rFonts w:cs="Calibri"/>
                        <w:sz w:val="20"/>
                        <w:szCs w:val="20"/>
                      </w:rPr>
                    </w:pPr>
                  </w:p>
                </w:txbxContent>
              </v:textbox>
              <w10:wrap type="square"/>
            </v:shape>
          </w:pict>
        </mc:Fallback>
      </mc:AlternateContent>
    </w:r>
    <w:r>
      <w:rPr>
        <w:rFonts w:asciiTheme="majorBidi" w:hAnsiTheme="majorBidi" w:cstheme="majorBidi" w:hint="cs"/>
        <w:b/>
        <w:bCs/>
        <w:sz w:val="24"/>
        <w:szCs w:val="24"/>
        <w:rtl/>
      </w:rPr>
      <w:t xml:space="preserve">                 </w:t>
    </w:r>
    <w:r w:rsidRPr="00992182">
      <w:rPr>
        <w:rFonts w:cs="Calibri"/>
        <w:b/>
        <w:bCs/>
        <w:i/>
        <w:iCs/>
        <w:sz w:val="24"/>
        <w:szCs w:val="24"/>
        <w:rtl/>
      </w:rPr>
      <w:t>ا</w:t>
    </w:r>
    <w:r w:rsidRPr="00992182">
      <w:rPr>
        <w:rFonts w:cs="Calibri"/>
        <w:b/>
        <w:bCs/>
        <w:i/>
        <w:iCs/>
        <w:sz w:val="24"/>
        <w:szCs w:val="24"/>
        <w:rtl/>
        <w:lang w:bidi="ar-DZ"/>
      </w:rPr>
      <w:t>لمثنى للعلوم القانونية والسياسية</w:t>
    </w:r>
  </w:p>
  <w:p w14:paraId="68E365BF" w14:textId="77777777" w:rsidR="00DE5FF7" w:rsidRPr="00992182" w:rsidRDefault="00DE5FF7" w:rsidP="00DE5FF7">
    <w:pPr>
      <w:pStyle w:val="Header"/>
      <w:rPr>
        <w:rFonts w:cs="Calibri"/>
        <w:b/>
        <w:bCs/>
        <w:i/>
        <w:iCs/>
        <w:sz w:val="24"/>
        <w:szCs w:val="24"/>
        <w:rtl/>
        <w:lang w:bidi="ar-IQ"/>
      </w:rPr>
    </w:pPr>
    <w:r w:rsidRPr="00992182">
      <w:rPr>
        <w:rFonts w:cs="Calibri"/>
        <w:b/>
        <w:bCs/>
        <w:i/>
        <w:iCs/>
        <w:sz w:val="24"/>
        <w:szCs w:val="24"/>
        <w:rtl/>
        <w:lang w:bidi="ar-DZ"/>
      </w:rPr>
      <w:t xml:space="preserve">                    المجلد (2) العدد 2</w:t>
    </w:r>
    <w:r w:rsidRPr="00992182">
      <w:rPr>
        <w:rFonts w:cs="Calibri"/>
        <w:b/>
        <w:bCs/>
        <w:i/>
        <w:iCs/>
        <w:sz w:val="24"/>
        <w:szCs w:val="24"/>
        <w:rtl/>
      </w:rPr>
      <w:t xml:space="preserve"> / 2025</w:t>
    </w:r>
  </w:p>
  <w:p w14:paraId="58F90D6C" w14:textId="4EF2D05D" w:rsidR="00DE5FF7" w:rsidRPr="00DE5FF7" w:rsidRDefault="00DE5FF7" w:rsidP="00DE5FF7">
    <w:pPr>
      <w:pStyle w:val="Header"/>
      <w:jc w:val="center"/>
      <w:rPr>
        <w:rFonts w:ascii="Andalus" w:hAnsi="Andalus" w:cs="Andalus"/>
        <w:lang w:bidi="ar-IQ"/>
      </w:rPr>
    </w:pPr>
    <w:r>
      <w:rPr>
        <w:rFonts w:ascii="Andalus" w:hAnsi="Andalus" w:cs="Andalus"/>
        <w:noProof/>
        <w:rtl/>
      </w:rPr>
      <mc:AlternateContent>
        <mc:Choice Requires="wps">
          <w:drawing>
            <wp:anchor distT="0" distB="0" distL="114300" distR="114300" simplePos="0" relativeHeight="251678720" behindDoc="0" locked="0" layoutInCell="1" allowOverlap="1" wp14:anchorId="2F41945A" wp14:editId="61C613CC">
              <wp:simplePos x="0" y="0"/>
              <wp:positionH relativeFrom="column">
                <wp:posOffset>-548640</wp:posOffset>
              </wp:positionH>
              <wp:positionV relativeFrom="paragraph">
                <wp:posOffset>145147</wp:posOffset>
              </wp:positionV>
              <wp:extent cx="6948994" cy="0"/>
              <wp:effectExtent l="25400" t="50800" r="36195" b="50800"/>
              <wp:wrapNone/>
              <wp:docPr id="171316631" name="رابط مستقيم 1"/>
              <wp:cNvGraphicFramePr/>
              <a:graphic xmlns:a="http://schemas.openxmlformats.org/drawingml/2006/main">
                <a:graphicData uri="http://schemas.microsoft.com/office/word/2010/wordprocessingShape">
                  <wps:wsp>
                    <wps:cNvCnPr/>
                    <wps:spPr>
                      <a:xfrm flipH="1" flipV="1">
                        <a:off x="0" y="0"/>
                        <a:ext cx="6948994" cy="0"/>
                      </a:xfrm>
                      <a:prstGeom prst="line">
                        <a:avLst/>
                      </a:prstGeom>
                      <a:ln w="47625" cap="flat" cmpd="tri">
                        <a:bevel/>
                      </a:ln>
                      <a:scene3d>
                        <a:camera prst="orthographicFront"/>
                        <a:lightRig rig="threePt" dir="t"/>
                      </a:scene3d>
                      <a:sp3d>
                        <a:bevelT/>
                      </a:sp3d>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C15D4" id="رابط مستقيم 1"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11.45pt" to="503.95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" strokecolor="#e97132 [3205]" strokeweight="3.75pt">
              <v:stroke linestyle="thickBetweenThin" joinstyle="bevel"/>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397"/>
    <w:multiLevelType w:val="hybridMultilevel"/>
    <w:tmpl w:val="3A1CA7CC"/>
    <w:lvl w:ilvl="0" w:tplc="8D8A9336">
      <w:start w:val="1"/>
      <w:numFmt w:val="decimal"/>
      <w:lvlRestart w:val="0"/>
      <w:lvlText w:val="%1-"/>
      <w:lvlJc w:val="left"/>
      <w:pPr>
        <w:tabs>
          <w:tab w:val="num" w:pos="0"/>
        </w:tabs>
        <w:ind w:left="720" w:hanging="360"/>
      </w:pPr>
      <w:rPr>
        <w:rFonts w:hint="default"/>
      </w:rPr>
    </w:lvl>
    <w:lvl w:ilvl="1" w:tplc="176272D6">
      <w:start w:val="1"/>
      <w:numFmt w:val="lowerLetter"/>
      <w:lvlText w:val="%2."/>
      <w:lvlJc w:val="left"/>
      <w:pPr>
        <w:tabs>
          <w:tab w:val="num" w:pos="0"/>
        </w:tabs>
        <w:ind w:left="1440" w:hanging="360"/>
      </w:pPr>
    </w:lvl>
    <w:lvl w:ilvl="2" w:tplc="1C7E73F4">
      <w:start w:val="1"/>
      <w:numFmt w:val="lowerRoman"/>
      <w:lvlText w:val="%3."/>
      <w:lvlJc w:val="right"/>
      <w:pPr>
        <w:tabs>
          <w:tab w:val="num" w:pos="0"/>
        </w:tabs>
        <w:ind w:left="2160" w:hanging="180"/>
      </w:pPr>
    </w:lvl>
    <w:lvl w:ilvl="3" w:tplc="EB444138">
      <w:start w:val="1"/>
      <w:numFmt w:val="decimal"/>
      <w:lvlText w:val="%4."/>
      <w:lvlJc w:val="left"/>
      <w:pPr>
        <w:tabs>
          <w:tab w:val="num" w:pos="0"/>
        </w:tabs>
        <w:ind w:left="2880" w:hanging="360"/>
      </w:pPr>
    </w:lvl>
    <w:lvl w:ilvl="4" w:tplc="80106CFC">
      <w:start w:val="1"/>
      <w:numFmt w:val="lowerLetter"/>
      <w:lvlText w:val="%5."/>
      <w:lvlJc w:val="left"/>
      <w:pPr>
        <w:tabs>
          <w:tab w:val="num" w:pos="0"/>
        </w:tabs>
        <w:ind w:left="3600" w:hanging="360"/>
      </w:pPr>
    </w:lvl>
    <w:lvl w:ilvl="5" w:tplc="8ED6308C">
      <w:start w:val="1"/>
      <w:numFmt w:val="lowerRoman"/>
      <w:lvlText w:val="%6."/>
      <w:lvlJc w:val="right"/>
      <w:pPr>
        <w:tabs>
          <w:tab w:val="num" w:pos="0"/>
        </w:tabs>
        <w:ind w:left="4320" w:hanging="180"/>
      </w:pPr>
    </w:lvl>
    <w:lvl w:ilvl="6" w:tplc="F0BAA9F0">
      <w:start w:val="1"/>
      <w:numFmt w:val="decimal"/>
      <w:lvlText w:val="%7."/>
      <w:lvlJc w:val="left"/>
      <w:pPr>
        <w:tabs>
          <w:tab w:val="num" w:pos="0"/>
        </w:tabs>
        <w:ind w:left="5040" w:hanging="360"/>
      </w:pPr>
    </w:lvl>
    <w:lvl w:ilvl="7" w:tplc="DACA0848">
      <w:start w:val="1"/>
      <w:numFmt w:val="lowerLetter"/>
      <w:lvlText w:val="%8."/>
      <w:lvlJc w:val="left"/>
      <w:pPr>
        <w:tabs>
          <w:tab w:val="num" w:pos="0"/>
        </w:tabs>
        <w:ind w:left="5760" w:hanging="360"/>
      </w:pPr>
    </w:lvl>
    <w:lvl w:ilvl="8" w:tplc="28385E70">
      <w:start w:val="1"/>
      <w:numFmt w:val="lowerRoman"/>
      <w:lvlText w:val="%9."/>
      <w:lvlJc w:val="right"/>
      <w:pPr>
        <w:tabs>
          <w:tab w:val="num" w:pos="0"/>
        </w:tabs>
        <w:ind w:left="6480" w:hanging="180"/>
      </w:pPr>
    </w:lvl>
  </w:abstractNum>
  <w:abstractNum w:abstractNumId="1" w15:restartNumberingAfterBreak="0">
    <w:nsid w:val="05B9433E"/>
    <w:multiLevelType w:val="hybridMultilevel"/>
    <w:tmpl w:val="83AE200E"/>
    <w:lvl w:ilvl="0" w:tplc="B8588954">
      <w:start w:val="1"/>
      <w:numFmt w:val="decimal"/>
      <w:lvlRestart w:val="0"/>
      <w:lvlText w:val="%1-"/>
      <w:lvlJc w:val="left"/>
      <w:pPr>
        <w:tabs>
          <w:tab w:val="num" w:pos="0"/>
        </w:tabs>
        <w:ind w:left="644" w:hanging="360"/>
      </w:pPr>
      <w:rPr>
        <w:rFonts w:hint="default"/>
      </w:rPr>
    </w:lvl>
    <w:lvl w:ilvl="1" w:tplc="DC729A9A">
      <w:start w:val="1"/>
      <w:numFmt w:val="lowerLetter"/>
      <w:lvlText w:val="%2."/>
      <w:lvlJc w:val="left"/>
      <w:pPr>
        <w:tabs>
          <w:tab w:val="num" w:pos="0"/>
        </w:tabs>
        <w:ind w:left="1364" w:hanging="360"/>
      </w:pPr>
    </w:lvl>
    <w:lvl w:ilvl="2" w:tplc="797877DE">
      <w:start w:val="1"/>
      <w:numFmt w:val="lowerRoman"/>
      <w:lvlText w:val="%3."/>
      <w:lvlJc w:val="right"/>
      <w:pPr>
        <w:tabs>
          <w:tab w:val="num" w:pos="0"/>
        </w:tabs>
        <w:ind w:left="2084" w:hanging="180"/>
      </w:pPr>
    </w:lvl>
    <w:lvl w:ilvl="3" w:tplc="DCFEB9AC">
      <w:start w:val="1"/>
      <w:numFmt w:val="decimal"/>
      <w:lvlText w:val="%4."/>
      <w:lvlJc w:val="left"/>
      <w:pPr>
        <w:tabs>
          <w:tab w:val="num" w:pos="0"/>
        </w:tabs>
        <w:ind w:left="2804" w:hanging="360"/>
      </w:pPr>
    </w:lvl>
    <w:lvl w:ilvl="4" w:tplc="8968C886">
      <w:start w:val="1"/>
      <w:numFmt w:val="lowerLetter"/>
      <w:lvlText w:val="%5."/>
      <w:lvlJc w:val="left"/>
      <w:pPr>
        <w:tabs>
          <w:tab w:val="num" w:pos="0"/>
        </w:tabs>
        <w:ind w:left="3524" w:hanging="360"/>
      </w:pPr>
    </w:lvl>
    <w:lvl w:ilvl="5" w:tplc="61D82DB0">
      <w:start w:val="1"/>
      <w:numFmt w:val="lowerRoman"/>
      <w:lvlText w:val="%6."/>
      <w:lvlJc w:val="right"/>
      <w:pPr>
        <w:tabs>
          <w:tab w:val="num" w:pos="0"/>
        </w:tabs>
        <w:ind w:left="4244" w:hanging="180"/>
      </w:pPr>
    </w:lvl>
    <w:lvl w:ilvl="6" w:tplc="188E765E">
      <w:start w:val="1"/>
      <w:numFmt w:val="decimal"/>
      <w:lvlText w:val="%7."/>
      <w:lvlJc w:val="left"/>
      <w:pPr>
        <w:tabs>
          <w:tab w:val="num" w:pos="0"/>
        </w:tabs>
        <w:ind w:left="4964" w:hanging="360"/>
      </w:pPr>
    </w:lvl>
    <w:lvl w:ilvl="7" w:tplc="61626E10">
      <w:start w:val="1"/>
      <w:numFmt w:val="lowerLetter"/>
      <w:lvlText w:val="%8."/>
      <w:lvlJc w:val="left"/>
      <w:pPr>
        <w:tabs>
          <w:tab w:val="num" w:pos="0"/>
        </w:tabs>
        <w:ind w:left="5684" w:hanging="360"/>
      </w:pPr>
    </w:lvl>
    <w:lvl w:ilvl="8" w:tplc="D0B66278">
      <w:start w:val="1"/>
      <w:numFmt w:val="lowerRoman"/>
      <w:lvlText w:val="%9."/>
      <w:lvlJc w:val="right"/>
      <w:pPr>
        <w:tabs>
          <w:tab w:val="num" w:pos="0"/>
        </w:tabs>
        <w:ind w:left="6404" w:hanging="180"/>
      </w:pPr>
    </w:lvl>
  </w:abstractNum>
  <w:abstractNum w:abstractNumId="2" w15:restartNumberingAfterBreak="0">
    <w:nsid w:val="08F24B02"/>
    <w:multiLevelType w:val="hybridMultilevel"/>
    <w:tmpl w:val="63D8EA2C"/>
    <w:lvl w:ilvl="0" w:tplc="3676B31E">
      <w:start w:val="1"/>
      <w:numFmt w:val="decimal"/>
      <w:lvlRestart w:val="0"/>
      <w:lvlText w:val="%1-"/>
      <w:lvlJc w:val="left"/>
      <w:pPr>
        <w:tabs>
          <w:tab w:val="num" w:pos="0"/>
        </w:tabs>
        <w:ind w:left="643" w:hanging="360"/>
      </w:pPr>
      <w:rPr>
        <w:rFonts w:hint="default"/>
      </w:rPr>
    </w:lvl>
    <w:lvl w:ilvl="1" w:tplc="22766C20">
      <w:start w:val="1"/>
      <w:numFmt w:val="lowerLetter"/>
      <w:lvlText w:val="%2."/>
      <w:lvlJc w:val="left"/>
      <w:pPr>
        <w:tabs>
          <w:tab w:val="num" w:pos="0"/>
        </w:tabs>
        <w:ind w:left="1440" w:hanging="360"/>
      </w:pPr>
    </w:lvl>
    <w:lvl w:ilvl="2" w:tplc="842E6708">
      <w:start w:val="1"/>
      <w:numFmt w:val="lowerRoman"/>
      <w:lvlText w:val="%3."/>
      <w:lvlJc w:val="right"/>
      <w:pPr>
        <w:tabs>
          <w:tab w:val="num" w:pos="0"/>
        </w:tabs>
        <w:ind w:left="2160" w:hanging="180"/>
      </w:pPr>
    </w:lvl>
    <w:lvl w:ilvl="3" w:tplc="28967D56">
      <w:start w:val="1"/>
      <w:numFmt w:val="decimal"/>
      <w:lvlText w:val="%4."/>
      <w:lvlJc w:val="left"/>
      <w:pPr>
        <w:tabs>
          <w:tab w:val="num" w:pos="0"/>
        </w:tabs>
        <w:ind w:left="2880" w:hanging="360"/>
      </w:pPr>
    </w:lvl>
    <w:lvl w:ilvl="4" w:tplc="B75CDB5C">
      <w:start w:val="1"/>
      <w:numFmt w:val="lowerLetter"/>
      <w:lvlText w:val="%5."/>
      <w:lvlJc w:val="left"/>
      <w:pPr>
        <w:tabs>
          <w:tab w:val="num" w:pos="0"/>
        </w:tabs>
        <w:ind w:left="3600" w:hanging="360"/>
      </w:pPr>
    </w:lvl>
    <w:lvl w:ilvl="5" w:tplc="1AEE6EBE">
      <w:start w:val="1"/>
      <w:numFmt w:val="lowerRoman"/>
      <w:lvlText w:val="%6."/>
      <w:lvlJc w:val="right"/>
      <w:pPr>
        <w:tabs>
          <w:tab w:val="num" w:pos="0"/>
        </w:tabs>
        <w:ind w:left="4320" w:hanging="180"/>
      </w:pPr>
    </w:lvl>
    <w:lvl w:ilvl="6" w:tplc="FCAE3386">
      <w:start w:val="1"/>
      <w:numFmt w:val="decimal"/>
      <w:lvlText w:val="%7."/>
      <w:lvlJc w:val="left"/>
      <w:pPr>
        <w:tabs>
          <w:tab w:val="num" w:pos="0"/>
        </w:tabs>
        <w:ind w:left="5040" w:hanging="360"/>
      </w:pPr>
    </w:lvl>
    <w:lvl w:ilvl="7" w:tplc="29285C60">
      <w:start w:val="1"/>
      <w:numFmt w:val="lowerLetter"/>
      <w:lvlText w:val="%8."/>
      <w:lvlJc w:val="left"/>
      <w:pPr>
        <w:tabs>
          <w:tab w:val="num" w:pos="0"/>
        </w:tabs>
        <w:ind w:left="5760" w:hanging="360"/>
      </w:pPr>
    </w:lvl>
    <w:lvl w:ilvl="8" w:tplc="57D03216">
      <w:start w:val="1"/>
      <w:numFmt w:val="lowerRoman"/>
      <w:lvlText w:val="%9."/>
      <w:lvlJc w:val="right"/>
      <w:pPr>
        <w:tabs>
          <w:tab w:val="num" w:pos="0"/>
        </w:tabs>
        <w:ind w:left="6480" w:hanging="180"/>
      </w:pPr>
    </w:lvl>
  </w:abstractNum>
  <w:abstractNum w:abstractNumId="3" w15:restartNumberingAfterBreak="0">
    <w:nsid w:val="094F3A3F"/>
    <w:multiLevelType w:val="hybridMultilevel"/>
    <w:tmpl w:val="B0D2D3AE"/>
    <w:lvl w:ilvl="0" w:tplc="A4A0FEA6">
      <w:start w:val="1"/>
      <w:numFmt w:val="decimal"/>
      <w:lvlRestart w:val="0"/>
      <w:lvlText w:val="%1-"/>
      <w:lvlJc w:val="left"/>
      <w:pPr>
        <w:tabs>
          <w:tab w:val="num" w:pos="-90"/>
        </w:tabs>
        <w:ind w:left="690" w:hanging="420"/>
      </w:pPr>
      <w:rPr>
        <w:rFonts w:hint="default"/>
      </w:rPr>
    </w:lvl>
    <w:lvl w:ilvl="1" w:tplc="C3CCE5B6">
      <w:start w:val="1"/>
      <w:numFmt w:val="lowerLetter"/>
      <w:lvlText w:val="%2."/>
      <w:lvlJc w:val="left"/>
      <w:pPr>
        <w:tabs>
          <w:tab w:val="num" w:pos="0"/>
        </w:tabs>
        <w:ind w:left="1440" w:hanging="360"/>
      </w:pPr>
    </w:lvl>
    <w:lvl w:ilvl="2" w:tplc="F67CB5C2">
      <w:start w:val="1"/>
      <w:numFmt w:val="lowerRoman"/>
      <w:lvlText w:val="%3."/>
      <w:lvlJc w:val="right"/>
      <w:pPr>
        <w:tabs>
          <w:tab w:val="num" w:pos="0"/>
        </w:tabs>
        <w:ind w:left="2160" w:hanging="180"/>
      </w:pPr>
    </w:lvl>
    <w:lvl w:ilvl="3" w:tplc="51BE447A">
      <w:start w:val="1"/>
      <w:numFmt w:val="decimal"/>
      <w:lvlText w:val="%4."/>
      <w:lvlJc w:val="left"/>
      <w:pPr>
        <w:tabs>
          <w:tab w:val="num" w:pos="0"/>
        </w:tabs>
        <w:ind w:left="2880" w:hanging="360"/>
      </w:pPr>
    </w:lvl>
    <w:lvl w:ilvl="4" w:tplc="8D6E3200">
      <w:start w:val="1"/>
      <w:numFmt w:val="lowerLetter"/>
      <w:lvlText w:val="%5."/>
      <w:lvlJc w:val="left"/>
      <w:pPr>
        <w:tabs>
          <w:tab w:val="num" w:pos="0"/>
        </w:tabs>
        <w:ind w:left="3600" w:hanging="360"/>
      </w:pPr>
    </w:lvl>
    <w:lvl w:ilvl="5" w:tplc="B8229738">
      <w:start w:val="1"/>
      <w:numFmt w:val="lowerRoman"/>
      <w:lvlText w:val="%6."/>
      <w:lvlJc w:val="right"/>
      <w:pPr>
        <w:tabs>
          <w:tab w:val="num" w:pos="0"/>
        </w:tabs>
        <w:ind w:left="4320" w:hanging="180"/>
      </w:pPr>
    </w:lvl>
    <w:lvl w:ilvl="6" w:tplc="ED2EA906">
      <w:start w:val="1"/>
      <w:numFmt w:val="decimal"/>
      <w:lvlText w:val="%7."/>
      <w:lvlJc w:val="left"/>
      <w:pPr>
        <w:tabs>
          <w:tab w:val="num" w:pos="0"/>
        </w:tabs>
        <w:ind w:left="5040" w:hanging="360"/>
      </w:pPr>
    </w:lvl>
    <w:lvl w:ilvl="7" w:tplc="D758C97E">
      <w:start w:val="1"/>
      <w:numFmt w:val="lowerLetter"/>
      <w:lvlText w:val="%8."/>
      <w:lvlJc w:val="left"/>
      <w:pPr>
        <w:tabs>
          <w:tab w:val="num" w:pos="0"/>
        </w:tabs>
        <w:ind w:left="5760" w:hanging="360"/>
      </w:pPr>
    </w:lvl>
    <w:lvl w:ilvl="8" w:tplc="6364839C">
      <w:start w:val="1"/>
      <w:numFmt w:val="lowerRoman"/>
      <w:lvlText w:val="%9."/>
      <w:lvlJc w:val="right"/>
      <w:pPr>
        <w:tabs>
          <w:tab w:val="num" w:pos="0"/>
        </w:tabs>
        <w:ind w:left="6480" w:hanging="180"/>
      </w:pPr>
    </w:lvl>
  </w:abstractNum>
  <w:abstractNum w:abstractNumId="4" w15:restartNumberingAfterBreak="0">
    <w:nsid w:val="0ADA11CF"/>
    <w:multiLevelType w:val="hybridMultilevel"/>
    <w:tmpl w:val="FCA04B38"/>
    <w:lvl w:ilvl="0" w:tplc="1C9E62B2">
      <w:start w:val="1"/>
      <w:numFmt w:val="decimal"/>
      <w:lvlText w:val="%1."/>
      <w:lvlJc w:val="left"/>
      <w:pPr>
        <w:ind w:left="9574" w:hanging="360"/>
      </w:pPr>
      <w:rPr>
        <w:rFonts w:ascii="Simplified Arabic" w:eastAsiaTheme="minorHAnsi" w:hAnsi="Simplified Arabic" w:cs="Simplified Arabic"/>
      </w:rPr>
    </w:lvl>
    <w:lvl w:ilvl="1" w:tplc="04090019" w:tentative="1">
      <w:start w:val="1"/>
      <w:numFmt w:val="lowerLetter"/>
      <w:lvlText w:val="%2."/>
      <w:lvlJc w:val="left"/>
      <w:pPr>
        <w:ind w:left="10294" w:hanging="360"/>
      </w:pPr>
    </w:lvl>
    <w:lvl w:ilvl="2" w:tplc="0409001B" w:tentative="1">
      <w:start w:val="1"/>
      <w:numFmt w:val="lowerRoman"/>
      <w:lvlText w:val="%3."/>
      <w:lvlJc w:val="right"/>
      <w:pPr>
        <w:ind w:left="11014" w:hanging="180"/>
      </w:pPr>
    </w:lvl>
    <w:lvl w:ilvl="3" w:tplc="0409000F" w:tentative="1">
      <w:start w:val="1"/>
      <w:numFmt w:val="decimal"/>
      <w:lvlText w:val="%4."/>
      <w:lvlJc w:val="left"/>
      <w:pPr>
        <w:ind w:left="11734" w:hanging="360"/>
      </w:pPr>
    </w:lvl>
    <w:lvl w:ilvl="4" w:tplc="04090019" w:tentative="1">
      <w:start w:val="1"/>
      <w:numFmt w:val="lowerLetter"/>
      <w:lvlText w:val="%5."/>
      <w:lvlJc w:val="left"/>
      <w:pPr>
        <w:ind w:left="12454" w:hanging="360"/>
      </w:pPr>
    </w:lvl>
    <w:lvl w:ilvl="5" w:tplc="0409001B" w:tentative="1">
      <w:start w:val="1"/>
      <w:numFmt w:val="lowerRoman"/>
      <w:lvlText w:val="%6."/>
      <w:lvlJc w:val="right"/>
      <w:pPr>
        <w:ind w:left="13174" w:hanging="180"/>
      </w:pPr>
    </w:lvl>
    <w:lvl w:ilvl="6" w:tplc="0409000F" w:tentative="1">
      <w:start w:val="1"/>
      <w:numFmt w:val="decimal"/>
      <w:lvlText w:val="%7."/>
      <w:lvlJc w:val="left"/>
      <w:pPr>
        <w:ind w:left="13894" w:hanging="360"/>
      </w:pPr>
    </w:lvl>
    <w:lvl w:ilvl="7" w:tplc="04090019" w:tentative="1">
      <w:start w:val="1"/>
      <w:numFmt w:val="lowerLetter"/>
      <w:lvlText w:val="%8."/>
      <w:lvlJc w:val="left"/>
      <w:pPr>
        <w:ind w:left="14614" w:hanging="360"/>
      </w:pPr>
    </w:lvl>
    <w:lvl w:ilvl="8" w:tplc="0409001B" w:tentative="1">
      <w:start w:val="1"/>
      <w:numFmt w:val="lowerRoman"/>
      <w:lvlText w:val="%9."/>
      <w:lvlJc w:val="right"/>
      <w:pPr>
        <w:ind w:left="15334" w:hanging="180"/>
      </w:pPr>
    </w:lvl>
  </w:abstractNum>
  <w:abstractNum w:abstractNumId="5" w15:restartNumberingAfterBreak="0">
    <w:nsid w:val="0C747C5B"/>
    <w:multiLevelType w:val="hybridMultilevel"/>
    <w:tmpl w:val="67E2D596"/>
    <w:lvl w:ilvl="0" w:tplc="FD52D39E">
      <w:start w:val="1"/>
      <w:numFmt w:val="decimal"/>
      <w:lvlRestart w:val="0"/>
      <w:lvlText w:val="%1-"/>
      <w:lvlJc w:val="left"/>
      <w:pPr>
        <w:tabs>
          <w:tab w:val="num" w:pos="0"/>
        </w:tabs>
        <w:ind w:left="720" w:hanging="360"/>
      </w:pPr>
      <w:rPr>
        <w:rFonts w:hint="default"/>
      </w:rPr>
    </w:lvl>
    <w:lvl w:ilvl="1" w:tplc="DEC8196E">
      <w:start w:val="1"/>
      <w:numFmt w:val="lowerLetter"/>
      <w:lvlText w:val="%2."/>
      <w:lvlJc w:val="left"/>
      <w:pPr>
        <w:tabs>
          <w:tab w:val="num" w:pos="0"/>
        </w:tabs>
        <w:ind w:left="1440" w:hanging="360"/>
      </w:pPr>
    </w:lvl>
    <w:lvl w:ilvl="2" w:tplc="EFC28128">
      <w:start w:val="1"/>
      <w:numFmt w:val="lowerRoman"/>
      <w:lvlText w:val="%3."/>
      <w:lvlJc w:val="right"/>
      <w:pPr>
        <w:tabs>
          <w:tab w:val="num" w:pos="0"/>
        </w:tabs>
        <w:ind w:left="2160" w:hanging="180"/>
      </w:pPr>
    </w:lvl>
    <w:lvl w:ilvl="3" w:tplc="410E2810">
      <w:start w:val="1"/>
      <w:numFmt w:val="decimal"/>
      <w:lvlText w:val="%4."/>
      <w:lvlJc w:val="left"/>
      <w:pPr>
        <w:tabs>
          <w:tab w:val="num" w:pos="0"/>
        </w:tabs>
        <w:ind w:left="2880" w:hanging="360"/>
      </w:pPr>
    </w:lvl>
    <w:lvl w:ilvl="4" w:tplc="6EA8A804">
      <w:start w:val="1"/>
      <w:numFmt w:val="lowerLetter"/>
      <w:lvlText w:val="%5."/>
      <w:lvlJc w:val="left"/>
      <w:pPr>
        <w:tabs>
          <w:tab w:val="num" w:pos="0"/>
        </w:tabs>
        <w:ind w:left="3600" w:hanging="360"/>
      </w:pPr>
    </w:lvl>
    <w:lvl w:ilvl="5" w:tplc="49F2286E">
      <w:start w:val="1"/>
      <w:numFmt w:val="lowerRoman"/>
      <w:lvlText w:val="%6."/>
      <w:lvlJc w:val="right"/>
      <w:pPr>
        <w:tabs>
          <w:tab w:val="num" w:pos="0"/>
        </w:tabs>
        <w:ind w:left="4320" w:hanging="180"/>
      </w:pPr>
    </w:lvl>
    <w:lvl w:ilvl="6" w:tplc="6C86B4EC">
      <w:start w:val="1"/>
      <w:numFmt w:val="decimal"/>
      <w:lvlText w:val="%7."/>
      <w:lvlJc w:val="left"/>
      <w:pPr>
        <w:tabs>
          <w:tab w:val="num" w:pos="0"/>
        </w:tabs>
        <w:ind w:left="5040" w:hanging="360"/>
      </w:pPr>
    </w:lvl>
    <w:lvl w:ilvl="7" w:tplc="4DD8A67A">
      <w:start w:val="1"/>
      <w:numFmt w:val="lowerLetter"/>
      <w:lvlText w:val="%8."/>
      <w:lvlJc w:val="left"/>
      <w:pPr>
        <w:tabs>
          <w:tab w:val="num" w:pos="0"/>
        </w:tabs>
        <w:ind w:left="5760" w:hanging="360"/>
      </w:pPr>
    </w:lvl>
    <w:lvl w:ilvl="8" w:tplc="1E840420">
      <w:start w:val="1"/>
      <w:numFmt w:val="lowerRoman"/>
      <w:lvlText w:val="%9."/>
      <w:lvlJc w:val="right"/>
      <w:pPr>
        <w:tabs>
          <w:tab w:val="num" w:pos="0"/>
        </w:tabs>
        <w:ind w:left="6480" w:hanging="180"/>
      </w:pPr>
    </w:lvl>
  </w:abstractNum>
  <w:abstractNum w:abstractNumId="6" w15:restartNumberingAfterBreak="0">
    <w:nsid w:val="10E5483D"/>
    <w:multiLevelType w:val="hybridMultilevel"/>
    <w:tmpl w:val="D282768C"/>
    <w:lvl w:ilvl="0" w:tplc="1BF0074A">
      <w:start w:val="1"/>
      <w:numFmt w:val="decimal"/>
      <w:lvlRestart w:val="0"/>
      <w:lvlText w:val="%1-"/>
      <w:lvlJc w:val="left"/>
      <w:pPr>
        <w:tabs>
          <w:tab w:val="num" w:pos="0"/>
        </w:tabs>
        <w:ind w:left="720" w:hanging="360"/>
      </w:pPr>
      <w:rPr>
        <w:rFonts w:hint="default"/>
      </w:rPr>
    </w:lvl>
    <w:lvl w:ilvl="1" w:tplc="0E620084">
      <w:start w:val="1"/>
      <w:numFmt w:val="lowerLetter"/>
      <w:lvlText w:val="%2."/>
      <w:lvlJc w:val="left"/>
      <w:pPr>
        <w:tabs>
          <w:tab w:val="num" w:pos="0"/>
        </w:tabs>
        <w:ind w:left="1440" w:hanging="360"/>
      </w:pPr>
    </w:lvl>
    <w:lvl w:ilvl="2" w:tplc="1CAE8F12">
      <w:start w:val="1"/>
      <w:numFmt w:val="lowerRoman"/>
      <w:lvlText w:val="%3."/>
      <w:lvlJc w:val="right"/>
      <w:pPr>
        <w:tabs>
          <w:tab w:val="num" w:pos="0"/>
        </w:tabs>
        <w:ind w:left="2160" w:hanging="180"/>
      </w:pPr>
    </w:lvl>
    <w:lvl w:ilvl="3" w:tplc="1F488982">
      <w:start w:val="1"/>
      <w:numFmt w:val="decimal"/>
      <w:lvlText w:val="%4."/>
      <w:lvlJc w:val="left"/>
      <w:pPr>
        <w:tabs>
          <w:tab w:val="num" w:pos="0"/>
        </w:tabs>
        <w:ind w:left="2880" w:hanging="360"/>
      </w:pPr>
    </w:lvl>
    <w:lvl w:ilvl="4" w:tplc="CE44AEB4">
      <w:start w:val="1"/>
      <w:numFmt w:val="lowerLetter"/>
      <w:lvlText w:val="%5."/>
      <w:lvlJc w:val="left"/>
      <w:pPr>
        <w:tabs>
          <w:tab w:val="num" w:pos="0"/>
        </w:tabs>
        <w:ind w:left="3600" w:hanging="360"/>
      </w:pPr>
    </w:lvl>
    <w:lvl w:ilvl="5" w:tplc="A8684C76">
      <w:start w:val="1"/>
      <w:numFmt w:val="lowerRoman"/>
      <w:lvlText w:val="%6."/>
      <w:lvlJc w:val="right"/>
      <w:pPr>
        <w:tabs>
          <w:tab w:val="num" w:pos="0"/>
        </w:tabs>
        <w:ind w:left="4320" w:hanging="180"/>
      </w:pPr>
    </w:lvl>
    <w:lvl w:ilvl="6" w:tplc="D74E5A58">
      <w:start w:val="1"/>
      <w:numFmt w:val="decimal"/>
      <w:lvlText w:val="%7."/>
      <w:lvlJc w:val="left"/>
      <w:pPr>
        <w:tabs>
          <w:tab w:val="num" w:pos="0"/>
        </w:tabs>
        <w:ind w:left="5040" w:hanging="360"/>
      </w:pPr>
    </w:lvl>
    <w:lvl w:ilvl="7" w:tplc="52A6178A">
      <w:start w:val="1"/>
      <w:numFmt w:val="lowerLetter"/>
      <w:lvlText w:val="%8."/>
      <w:lvlJc w:val="left"/>
      <w:pPr>
        <w:tabs>
          <w:tab w:val="num" w:pos="0"/>
        </w:tabs>
        <w:ind w:left="5760" w:hanging="360"/>
      </w:pPr>
    </w:lvl>
    <w:lvl w:ilvl="8" w:tplc="6E02A5D4">
      <w:start w:val="1"/>
      <w:numFmt w:val="lowerRoman"/>
      <w:lvlText w:val="%9."/>
      <w:lvlJc w:val="right"/>
      <w:pPr>
        <w:tabs>
          <w:tab w:val="num" w:pos="0"/>
        </w:tabs>
        <w:ind w:left="6480" w:hanging="180"/>
      </w:pPr>
    </w:lvl>
  </w:abstractNum>
  <w:abstractNum w:abstractNumId="7" w15:restartNumberingAfterBreak="0">
    <w:nsid w:val="12783C88"/>
    <w:multiLevelType w:val="hybridMultilevel"/>
    <w:tmpl w:val="3D4293C8"/>
    <w:lvl w:ilvl="0" w:tplc="CB9A70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D2E6A"/>
    <w:multiLevelType w:val="hybridMultilevel"/>
    <w:tmpl w:val="EDC8D50C"/>
    <w:lvl w:ilvl="0" w:tplc="1200EA2C">
      <w:start w:val="1"/>
      <w:numFmt w:val="decimal"/>
      <w:lvlRestart w:val="0"/>
      <w:lvlText w:val="%1-"/>
      <w:lvlJc w:val="left"/>
      <w:pPr>
        <w:tabs>
          <w:tab w:val="num" w:pos="0"/>
        </w:tabs>
        <w:ind w:left="800" w:hanging="375"/>
      </w:pPr>
      <w:rPr>
        <w:rFonts w:hint="default"/>
      </w:rPr>
    </w:lvl>
    <w:lvl w:ilvl="1" w:tplc="38928E06">
      <w:start w:val="1"/>
      <w:numFmt w:val="lowerLetter"/>
      <w:lvlText w:val="%2."/>
      <w:lvlJc w:val="left"/>
      <w:pPr>
        <w:tabs>
          <w:tab w:val="num" w:pos="0"/>
        </w:tabs>
        <w:ind w:left="1505" w:hanging="360"/>
      </w:pPr>
    </w:lvl>
    <w:lvl w:ilvl="2" w:tplc="0EE02416">
      <w:start w:val="1"/>
      <w:numFmt w:val="lowerRoman"/>
      <w:lvlText w:val="%3."/>
      <w:lvlJc w:val="right"/>
      <w:pPr>
        <w:tabs>
          <w:tab w:val="num" w:pos="0"/>
        </w:tabs>
        <w:ind w:left="2225" w:hanging="180"/>
      </w:pPr>
    </w:lvl>
    <w:lvl w:ilvl="3" w:tplc="B5006058">
      <w:start w:val="1"/>
      <w:numFmt w:val="decimal"/>
      <w:lvlText w:val="%4."/>
      <w:lvlJc w:val="left"/>
      <w:pPr>
        <w:tabs>
          <w:tab w:val="num" w:pos="0"/>
        </w:tabs>
        <w:ind w:left="2945" w:hanging="360"/>
      </w:pPr>
    </w:lvl>
    <w:lvl w:ilvl="4" w:tplc="85F6B474">
      <w:start w:val="1"/>
      <w:numFmt w:val="lowerLetter"/>
      <w:lvlText w:val="%5."/>
      <w:lvlJc w:val="left"/>
      <w:pPr>
        <w:tabs>
          <w:tab w:val="num" w:pos="0"/>
        </w:tabs>
        <w:ind w:left="3665" w:hanging="360"/>
      </w:pPr>
    </w:lvl>
    <w:lvl w:ilvl="5" w:tplc="48DED48A">
      <w:start w:val="1"/>
      <w:numFmt w:val="lowerRoman"/>
      <w:lvlText w:val="%6."/>
      <w:lvlJc w:val="right"/>
      <w:pPr>
        <w:tabs>
          <w:tab w:val="num" w:pos="0"/>
        </w:tabs>
        <w:ind w:left="4385" w:hanging="180"/>
      </w:pPr>
    </w:lvl>
    <w:lvl w:ilvl="6" w:tplc="393AB116">
      <w:start w:val="1"/>
      <w:numFmt w:val="decimal"/>
      <w:lvlText w:val="%7."/>
      <w:lvlJc w:val="left"/>
      <w:pPr>
        <w:tabs>
          <w:tab w:val="num" w:pos="0"/>
        </w:tabs>
        <w:ind w:left="5105" w:hanging="360"/>
      </w:pPr>
    </w:lvl>
    <w:lvl w:ilvl="7" w:tplc="4BAC5434">
      <w:start w:val="1"/>
      <w:numFmt w:val="lowerLetter"/>
      <w:lvlText w:val="%8."/>
      <w:lvlJc w:val="left"/>
      <w:pPr>
        <w:tabs>
          <w:tab w:val="num" w:pos="0"/>
        </w:tabs>
        <w:ind w:left="5825" w:hanging="360"/>
      </w:pPr>
    </w:lvl>
    <w:lvl w:ilvl="8" w:tplc="CED8BE34">
      <w:start w:val="1"/>
      <w:numFmt w:val="lowerRoman"/>
      <w:lvlText w:val="%9."/>
      <w:lvlJc w:val="right"/>
      <w:pPr>
        <w:tabs>
          <w:tab w:val="num" w:pos="0"/>
        </w:tabs>
        <w:ind w:left="6545" w:hanging="180"/>
      </w:pPr>
    </w:lvl>
  </w:abstractNum>
  <w:abstractNum w:abstractNumId="9" w15:restartNumberingAfterBreak="0">
    <w:nsid w:val="16AA284E"/>
    <w:multiLevelType w:val="hybridMultilevel"/>
    <w:tmpl w:val="F5566476"/>
    <w:lvl w:ilvl="0" w:tplc="75D25FA0">
      <w:start w:val="1"/>
      <w:numFmt w:val="decimal"/>
      <w:lvlRestart w:val="0"/>
      <w:lvlText w:val="%1-"/>
      <w:lvlJc w:val="left"/>
      <w:pPr>
        <w:tabs>
          <w:tab w:val="num" w:pos="0"/>
        </w:tabs>
        <w:ind w:left="780" w:hanging="420"/>
      </w:pPr>
      <w:rPr>
        <w:rFonts w:hint="default"/>
      </w:rPr>
    </w:lvl>
    <w:lvl w:ilvl="1" w:tplc="E74CE63E">
      <w:start w:val="1"/>
      <w:numFmt w:val="lowerLetter"/>
      <w:lvlText w:val="%2."/>
      <w:lvlJc w:val="left"/>
      <w:pPr>
        <w:tabs>
          <w:tab w:val="num" w:pos="0"/>
        </w:tabs>
        <w:ind w:left="1440" w:hanging="360"/>
      </w:pPr>
    </w:lvl>
    <w:lvl w:ilvl="2" w:tplc="5470B030">
      <w:start w:val="1"/>
      <w:numFmt w:val="lowerRoman"/>
      <w:lvlText w:val="%3."/>
      <w:lvlJc w:val="right"/>
      <w:pPr>
        <w:tabs>
          <w:tab w:val="num" w:pos="0"/>
        </w:tabs>
        <w:ind w:left="2160" w:hanging="180"/>
      </w:pPr>
    </w:lvl>
    <w:lvl w:ilvl="3" w:tplc="ABBE3E1E">
      <w:start w:val="1"/>
      <w:numFmt w:val="decimal"/>
      <w:lvlText w:val="%4."/>
      <w:lvlJc w:val="left"/>
      <w:pPr>
        <w:tabs>
          <w:tab w:val="num" w:pos="0"/>
        </w:tabs>
        <w:ind w:left="2880" w:hanging="360"/>
      </w:pPr>
    </w:lvl>
    <w:lvl w:ilvl="4" w:tplc="5CD4B0AE">
      <w:start w:val="1"/>
      <w:numFmt w:val="lowerLetter"/>
      <w:lvlText w:val="%5."/>
      <w:lvlJc w:val="left"/>
      <w:pPr>
        <w:tabs>
          <w:tab w:val="num" w:pos="0"/>
        </w:tabs>
        <w:ind w:left="3600" w:hanging="360"/>
      </w:pPr>
    </w:lvl>
    <w:lvl w:ilvl="5" w:tplc="9AFC5A66">
      <w:start w:val="1"/>
      <w:numFmt w:val="lowerRoman"/>
      <w:lvlText w:val="%6."/>
      <w:lvlJc w:val="right"/>
      <w:pPr>
        <w:tabs>
          <w:tab w:val="num" w:pos="0"/>
        </w:tabs>
        <w:ind w:left="4320" w:hanging="180"/>
      </w:pPr>
    </w:lvl>
    <w:lvl w:ilvl="6" w:tplc="98F21728">
      <w:start w:val="1"/>
      <w:numFmt w:val="decimal"/>
      <w:lvlText w:val="%7."/>
      <w:lvlJc w:val="left"/>
      <w:pPr>
        <w:tabs>
          <w:tab w:val="num" w:pos="0"/>
        </w:tabs>
        <w:ind w:left="5040" w:hanging="360"/>
      </w:pPr>
    </w:lvl>
    <w:lvl w:ilvl="7" w:tplc="D1FADDD0">
      <w:start w:val="1"/>
      <w:numFmt w:val="lowerLetter"/>
      <w:lvlText w:val="%8."/>
      <w:lvlJc w:val="left"/>
      <w:pPr>
        <w:tabs>
          <w:tab w:val="num" w:pos="0"/>
        </w:tabs>
        <w:ind w:left="5760" w:hanging="360"/>
      </w:pPr>
    </w:lvl>
    <w:lvl w:ilvl="8" w:tplc="FBDA6788">
      <w:start w:val="1"/>
      <w:numFmt w:val="lowerRoman"/>
      <w:lvlText w:val="%9."/>
      <w:lvlJc w:val="right"/>
      <w:pPr>
        <w:tabs>
          <w:tab w:val="num" w:pos="0"/>
        </w:tabs>
        <w:ind w:left="6480" w:hanging="180"/>
      </w:pPr>
    </w:lvl>
  </w:abstractNum>
  <w:abstractNum w:abstractNumId="10" w15:restartNumberingAfterBreak="0">
    <w:nsid w:val="16CA73A0"/>
    <w:multiLevelType w:val="hybridMultilevel"/>
    <w:tmpl w:val="25BE6948"/>
    <w:lvl w:ilvl="0" w:tplc="700854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75729"/>
    <w:multiLevelType w:val="hybridMultilevel"/>
    <w:tmpl w:val="BA2A814C"/>
    <w:lvl w:ilvl="0" w:tplc="1FBA7DE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7C761C0"/>
    <w:multiLevelType w:val="hybridMultilevel"/>
    <w:tmpl w:val="D78C8D00"/>
    <w:lvl w:ilvl="0" w:tplc="9C6E9C48">
      <w:start w:val="1"/>
      <w:numFmt w:val="decimal"/>
      <w:lvlRestart w:val="0"/>
      <w:lvlText w:val="%1."/>
      <w:lvlJc w:val="left"/>
      <w:pPr>
        <w:tabs>
          <w:tab w:val="num" w:pos="0"/>
        </w:tabs>
        <w:ind w:left="720" w:hanging="360"/>
      </w:pPr>
    </w:lvl>
    <w:lvl w:ilvl="1" w:tplc="00D0A57A">
      <w:start w:val="1"/>
      <w:numFmt w:val="lowerLetter"/>
      <w:lvlText w:val="%2."/>
      <w:lvlJc w:val="left"/>
      <w:pPr>
        <w:tabs>
          <w:tab w:val="num" w:pos="0"/>
        </w:tabs>
        <w:ind w:left="1440" w:hanging="360"/>
      </w:pPr>
    </w:lvl>
    <w:lvl w:ilvl="2" w:tplc="D076EB24">
      <w:start w:val="1"/>
      <w:numFmt w:val="lowerRoman"/>
      <w:lvlText w:val="%3."/>
      <w:lvlJc w:val="right"/>
      <w:pPr>
        <w:tabs>
          <w:tab w:val="num" w:pos="0"/>
        </w:tabs>
        <w:ind w:left="2160" w:hanging="180"/>
      </w:pPr>
    </w:lvl>
    <w:lvl w:ilvl="3" w:tplc="841A3DF6">
      <w:start w:val="1"/>
      <w:numFmt w:val="decimal"/>
      <w:lvlText w:val="%4."/>
      <w:lvlJc w:val="left"/>
      <w:pPr>
        <w:tabs>
          <w:tab w:val="num" w:pos="0"/>
        </w:tabs>
        <w:ind w:left="2880" w:hanging="360"/>
      </w:pPr>
    </w:lvl>
    <w:lvl w:ilvl="4" w:tplc="871CB04E">
      <w:start w:val="1"/>
      <w:numFmt w:val="lowerLetter"/>
      <w:lvlText w:val="%5."/>
      <w:lvlJc w:val="left"/>
      <w:pPr>
        <w:tabs>
          <w:tab w:val="num" w:pos="0"/>
        </w:tabs>
        <w:ind w:left="3600" w:hanging="360"/>
      </w:pPr>
    </w:lvl>
    <w:lvl w:ilvl="5" w:tplc="0C92A682">
      <w:start w:val="1"/>
      <w:numFmt w:val="lowerRoman"/>
      <w:lvlText w:val="%6."/>
      <w:lvlJc w:val="right"/>
      <w:pPr>
        <w:tabs>
          <w:tab w:val="num" w:pos="0"/>
        </w:tabs>
        <w:ind w:left="4320" w:hanging="180"/>
      </w:pPr>
    </w:lvl>
    <w:lvl w:ilvl="6" w:tplc="6B8C708E">
      <w:start w:val="1"/>
      <w:numFmt w:val="decimal"/>
      <w:lvlText w:val="%7."/>
      <w:lvlJc w:val="left"/>
      <w:pPr>
        <w:tabs>
          <w:tab w:val="num" w:pos="0"/>
        </w:tabs>
        <w:ind w:left="5040" w:hanging="360"/>
      </w:pPr>
    </w:lvl>
    <w:lvl w:ilvl="7" w:tplc="805E0960">
      <w:start w:val="1"/>
      <w:numFmt w:val="lowerLetter"/>
      <w:lvlText w:val="%8."/>
      <w:lvlJc w:val="left"/>
      <w:pPr>
        <w:tabs>
          <w:tab w:val="num" w:pos="0"/>
        </w:tabs>
        <w:ind w:left="5760" w:hanging="360"/>
      </w:pPr>
    </w:lvl>
    <w:lvl w:ilvl="8" w:tplc="235AAC24">
      <w:start w:val="1"/>
      <w:numFmt w:val="lowerRoman"/>
      <w:lvlText w:val="%9."/>
      <w:lvlJc w:val="right"/>
      <w:pPr>
        <w:tabs>
          <w:tab w:val="num" w:pos="0"/>
        </w:tabs>
        <w:ind w:left="6480" w:hanging="180"/>
      </w:pPr>
    </w:lvl>
  </w:abstractNum>
  <w:abstractNum w:abstractNumId="13" w15:restartNumberingAfterBreak="0">
    <w:nsid w:val="18B919C0"/>
    <w:multiLevelType w:val="hybridMultilevel"/>
    <w:tmpl w:val="4874E610"/>
    <w:lvl w:ilvl="0" w:tplc="3D7AD23C">
      <w:start w:val="1"/>
      <w:numFmt w:val="decimal"/>
      <w:lvlRestart w:val="0"/>
      <w:lvlText w:val="%1."/>
      <w:lvlJc w:val="left"/>
      <w:pPr>
        <w:tabs>
          <w:tab w:val="num" w:pos="0"/>
        </w:tabs>
        <w:ind w:left="1440" w:hanging="360"/>
      </w:pPr>
    </w:lvl>
    <w:lvl w:ilvl="1" w:tplc="01C2BDEA">
      <w:start w:val="1"/>
      <w:numFmt w:val="lowerLetter"/>
      <w:lvlText w:val="%2."/>
      <w:lvlJc w:val="left"/>
      <w:pPr>
        <w:tabs>
          <w:tab w:val="num" w:pos="0"/>
        </w:tabs>
        <w:ind w:left="2160" w:hanging="360"/>
      </w:pPr>
    </w:lvl>
    <w:lvl w:ilvl="2" w:tplc="3A40F9C8">
      <w:start w:val="1"/>
      <w:numFmt w:val="lowerRoman"/>
      <w:lvlText w:val="%3."/>
      <w:lvlJc w:val="right"/>
      <w:pPr>
        <w:tabs>
          <w:tab w:val="num" w:pos="0"/>
        </w:tabs>
        <w:ind w:left="2880" w:hanging="180"/>
      </w:pPr>
    </w:lvl>
    <w:lvl w:ilvl="3" w:tplc="0CAA4262">
      <w:start w:val="1"/>
      <w:numFmt w:val="decimal"/>
      <w:lvlText w:val="%4."/>
      <w:lvlJc w:val="left"/>
      <w:pPr>
        <w:tabs>
          <w:tab w:val="num" w:pos="0"/>
        </w:tabs>
        <w:ind w:left="3600" w:hanging="360"/>
      </w:pPr>
    </w:lvl>
    <w:lvl w:ilvl="4" w:tplc="20AA70DC">
      <w:start w:val="1"/>
      <w:numFmt w:val="lowerLetter"/>
      <w:lvlText w:val="%5."/>
      <w:lvlJc w:val="left"/>
      <w:pPr>
        <w:tabs>
          <w:tab w:val="num" w:pos="0"/>
        </w:tabs>
        <w:ind w:left="4320" w:hanging="360"/>
      </w:pPr>
    </w:lvl>
    <w:lvl w:ilvl="5" w:tplc="1ECE120E">
      <w:start w:val="1"/>
      <w:numFmt w:val="lowerRoman"/>
      <w:lvlText w:val="%6."/>
      <w:lvlJc w:val="right"/>
      <w:pPr>
        <w:tabs>
          <w:tab w:val="num" w:pos="0"/>
        </w:tabs>
        <w:ind w:left="5040" w:hanging="180"/>
      </w:pPr>
    </w:lvl>
    <w:lvl w:ilvl="6" w:tplc="00ACFCEC">
      <w:start w:val="1"/>
      <w:numFmt w:val="decimal"/>
      <w:lvlText w:val="%7."/>
      <w:lvlJc w:val="left"/>
      <w:pPr>
        <w:tabs>
          <w:tab w:val="num" w:pos="0"/>
        </w:tabs>
        <w:ind w:left="5760" w:hanging="360"/>
      </w:pPr>
    </w:lvl>
    <w:lvl w:ilvl="7" w:tplc="96BC2AD6">
      <w:start w:val="1"/>
      <w:numFmt w:val="lowerLetter"/>
      <w:lvlText w:val="%8."/>
      <w:lvlJc w:val="left"/>
      <w:pPr>
        <w:tabs>
          <w:tab w:val="num" w:pos="0"/>
        </w:tabs>
        <w:ind w:left="6480" w:hanging="360"/>
      </w:pPr>
    </w:lvl>
    <w:lvl w:ilvl="8" w:tplc="D278FDC6">
      <w:start w:val="1"/>
      <w:numFmt w:val="lowerRoman"/>
      <w:lvlText w:val="%9."/>
      <w:lvlJc w:val="right"/>
      <w:pPr>
        <w:tabs>
          <w:tab w:val="num" w:pos="0"/>
        </w:tabs>
        <w:ind w:left="7200" w:hanging="180"/>
      </w:pPr>
    </w:lvl>
  </w:abstractNum>
  <w:abstractNum w:abstractNumId="14" w15:restartNumberingAfterBreak="0">
    <w:nsid w:val="1FCC1598"/>
    <w:multiLevelType w:val="hybridMultilevel"/>
    <w:tmpl w:val="863293FE"/>
    <w:lvl w:ilvl="0" w:tplc="D74C3F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6A48BE"/>
    <w:multiLevelType w:val="hybridMultilevel"/>
    <w:tmpl w:val="86C018DC"/>
    <w:lvl w:ilvl="0" w:tplc="24C62716">
      <w:start w:val="24"/>
      <w:numFmt w:val="bullet"/>
      <w:lvlText w:val="-"/>
      <w:lvlJc w:val="left"/>
      <w:pPr>
        <w:ind w:left="720" w:hanging="360"/>
      </w:pPr>
      <w:rPr>
        <w:rFonts w:ascii="Times New Roman" w:eastAsia="Calibri" w:hAnsi="Times New Roman" w:cs="Times New Roman" w:hint="default"/>
        <w:b w:val="0"/>
        <w:sz w:val="28"/>
      </w:rPr>
    </w:lvl>
    <w:lvl w:ilvl="1" w:tplc="7D22F77C">
      <w:start w:val="1"/>
      <w:numFmt w:val="bullet"/>
      <w:lvlText w:val="o"/>
      <w:lvlJc w:val="left"/>
      <w:pPr>
        <w:tabs>
          <w:tab w:val="num" w:pos="0"/>
        </w:tabs>
        <w:ind w:left="1440" w:hanging="360"/>
      </w:pPr>
      <w:rPr>
        <w:rFonts w:ascii="Courier New" w:hAnsi="Courier New" w:cs="Courier New" w:hint="default"/>
      </w:rPr>
    </w:lvl>
    <w:lvl w:ilvl="2" w:tplc="F69C4744">
      <w:start w:val="1"/>
      <w:numFmt w:val="bullet"/>
      <w:lvlText w:val=""/>
      <w:lvlJc w:val="left"/>
      <w:pPr>
        <w:tabs>
          <w:tab w:val="num" w:pos="0"/>
        </w:tabs>
        <w:ind w:left="2160" w:hanging="360"/>
      </w:pPr>
      <w:rPr>
        <w:rFonts w:ascii="Wingdings" w:hAnsi="Wingdings" w:hint="default"/>
      </w:rPr>
    </w:lvl>
    <w:lvl w:ilvl="3" w:tplc="791CBB36">
      <w:start w:val="1"/>
      <w:numFmt w:val="bullet"/>
      <w:lvlText w:val=""/>
      <w:lvlJc w:val="left"/>
      <w:pPr>
        <w:tabs>
          <w:tab w:val="num" w:pos="0"/>
        </w:tabs>
        <w:ind w:left="2880" w:hanging="360"/>
      </w:pPr>
      <w:rPr>
        <w:rFonts w:ascii="Symbol" w:hAnsi="Symbol" w:hint="default"/>
      </w:rPr>
    </w:lvl>
    <w:lvl w:ilvl="4" w:tplc="7D30171C">
      <w:start w:val="1"/>
      <w:numFmt w:val="bullet"/>
      <w:lvlText w:val="o"/>
      <w:lvlJc w:val="left"/>
      <w:pPr>
        <w:tabs>
          <w:tab w:val="num" w:pos="0"/>
        </w:tabs>
        <w:ind w:left="3600" w:hanging="360"/>
      </w:pPr>
      <w:rPr>
        <w:rFonts w:ascii="Courier New" w:hAnsi="Courier New" w:cs="Courier New" w:hint="default"/>
      </w:rPr>
    </w:lvl>
    <w:lvl w:ilvl="5" w:tplc="DF0A016C">
      <w:start w:val="1"/>
      <w:numFmt w:val="bullet"/>
      <w:lvlText w:val=""/>
      <w:lvlJc w:val="left"/>
      <w:pPr>
        <w:tabs>
          <w:tab w:val="num" w:pos="0"/>
        </w:tabs>
        <w:ind w:left="4320" w:hanging="360"/>
      </w:pPr>
      <w:rPr>
        <w:rFonts w:ascii="Wingdings" w:hAnsi="Wingdings" w:hint="default"/>
      </w:rPr>
    </w:lvl>
    <w:lvl w:ilvl="6" w:tplc="FEF6B69C">
      <w:start w:val="1"/>
      <w:numFmt w:val="bullet"/>
      <w:lvlText w:val=""/>
      <w:lvlJc w:val="left"/>
      <w:pPr>
        <w:tabs>
          <w:tab w:val="num" w:pos="0"/>
        </w:tabs>
        <w:ind w:left="5040" w:hanging="360"/>
      </w:pPr>
      <w:rPr>
        <w:rFonts w:ascii="Symbol" w:hAnsi="Symbol" w:hint="default"/>
      </w:rPr>
    </w:lvl>
    <w:lvl w:ilvl="7" w:tplc="180A7FAA">
      <w:start w:val="1"/>
      <w:numFmt w:val="bullet"/>
      <w:lvlText w:val="o"/>
      <w:lvlJc w:val="left"/>
      <w:pPr>
        <w:tabs>
          <w:tab w:val="num" w:pos="0"/>
        </w:tabs>
        <w:ind w:left="5760" w:hanging="360"/>
      </w:pPr>
      <w:rPr>
        <w:rFonts w:ascii="Courier New" w:hAnsi="Courier New" w:cs="Courier New" w:hint="default"/>
      </w:rPr>
    </w:lvl>
    <w:lvl w:ilvl="8" w:tplc="098E03C2">
      <w:start w:val="1"/>
      <w:numFmt w:val="bullet"/>
      <w:lvlText w:val=""/>
      <w:lvlJc w:val="left"/>
      <w:pPr>
        <w:tabs>
          <w:tab w:val="num" w:pos="0"/>
        </w:tabs>
        <w:ind w:left="6480" w:hanging="360"/>
      </w:pPr>
      <w:rPr>
        <w:rFonts w:ascii="Wingdings" w:hAnsi="Wingdings" w:hint="default"/>
      </w:rPr>
    </w:lvl>
  </w:abstractNum>
  <w:abstractNum w:abstractNumId="16" w15:restartNumberingAfterBreak="0">
    <w:nsid w:val="26ED7E94"/>
    <w:multiLevelType w:val="hybridMultilevel"/>
    <w:tmpl w:val="588C4936"/>
    <w:lvl w:ilvl="0" w:tplc="E85807C2">
      <w:start w:val="1"/>
      <w:numFmt w:val="decimal"/>
      <w:lvlRestart w:val="0"/>
      <w:lvlText w:val="%1-"/>
      <w:lvlJc w:val="left"/>
      <w:pPr>
        <w:tabs>
          <w:tab w:val="num" w:pos="0"/>
        </w:tabs>
        <w:ind w:left="780" w:hanging="420"/>
      </w:pPr>
      <w:rPr>
        <w:rFonts w:hint="default"/>
      </w:rPr>
    </w:lvl>
    <w:lvl w:ilvl="1" w:tplc="00309BF6">
      <w:start w:val="1"/>
      <w:numFmt w:val="lowerLetter"/>
      <w:lvlText w:val="%2."/>
      <w:lvlJc w:val="left"/>
      <w:pPr>
        <w:tabs>
          <w:tab w:val="num" w:pos="0"/>
        </w:tabs>
        <w:ind w:left="1440" w:hanging="360"/>
      </w:pPr>
    </w:lvl>
    <w:lvl w:ilvl="2" w:tplc="AF34E712">
      <w:start w:val="1"/>
      <w:numFmt w:val="lowerRoman"/>
      <w:lvlText w:val="%3."/>
      <w:lvlJc w:val="right"/>
      <w:pPr>
        <w:tabs>
          <w:tab w:val="num" w:pos="0"/>
        </w:tabs>
        <w:ind w:left="2160" w:hanging="180"/>
      </w:pPr>
    </w:lvl>
    <w:lvl w:ilvl="3" w:tplc="5F5A77D4">
      <w:start w:val="1"/>
      <w:numFmt w:val="decimal"/>
      <w:lvlText w:val="%4."/>
      <w:lvlJc w:val="left"/>
      <w:pPr>
        <w:tabs>
          <w:tab w:val="num" w:pos="0"/>
        </w:tabs>
        <w:ind w:left="2880" w:hanging="360"/>
      </w:pPr>
    </w:lvl>
    <w:lvl w:ilvl="4" w:tplc="7B6C6FBA">
      <w:start w:val="1"/>
      <w:numFmt w:val="lowerLetter"/>
      <w:lvlText w:val="%5."/>
      <w:lvlJc w:val="left"/>
      <w:pPr>
        <w:tabs>
          <w:tab w:val="num" w:pos="0"/>
        </w:tabs>
        <w:ind w:left="3600" w:hanging="360"/>
      </w:pPr>
    </w:lvl>
    <w:lvl w:ilvl="5" w:tplc="BF2A2F12">
      <w:start w:val="1"/>
      <w:numFmt w:val="lowerRoman"/>
      <w:lvlText w:val="%6."/>
      <w:lvlJc w:val="right"/>
      <w:pPr>
        <w:tabs>
          <w:tab w:val="num" w:pos="0"/>
        </w:tabs>
        <w:ind w:left="4320" w:hanging="180"/>
      </w:pPr>
    </w:lvl>
    <w:lvl w:ilvl="6" w:tplc="4D30A09A">
      <w:start w:val="1"/>
      <w:numFmt w:val="decimal"/>
      <w:lvlText w:val="%7."/>
      <w:lvlJc w:val="left"/>
      <w:pPr>
        <w:tabs>
          <w:tab w:val="num" w:pos="0"/>
        </w:tabs>
        <w:ind w:left="5040" w:hanging="360"/>
      </w:pPr>
    </w:lvl>
    <w:lvl w:ilvl="7" w:tplc="E55ED78C">
      <w:start w:val="1"/>
      <w:numFmt w:val="lowerLetter"/>
      <w:lvlText w:val="%8."/>
      <w:lvlJc w:val="left"/>
      <w:pPr>
        <w:tabs>
          <w:tab w:val="num" w:pos="0"/>
        </w:tabs>
        <w:ind w:left="5760" w:hanging="360"/>
      </w:pPr>
    </w:lvl>
    <w:lvl w:ilvl="8" w:tplc="8EBC5CAC">
      <w:start w:val="1"/>
      <w:numFmt w:val="lowerRoman"/>
      <w:lvlText w:val="%9."/>
      <w:lvlJc w:val="right"/>
      <w:pPr>
        <w:tabs>
          <w:tab w:val="num" w:pos="0"/>
        </w:tabs>
        <w:ind w:left="6480" w:hanging="180"/>
      </w:pPr>
    </w:lvl>
  </w:abstractNum>
  <w:abstractNum w:abstractNumId="17" w15:restartNumberingAfterBreak="0">
    <w:nsid w:val="27186DAB"/>
    <w:multiLevelType w:val="hybridMultilevel"/>
    <w:tmpl w:val="A162A1B2"/>
    <w:lvl w:ilvl="0" w:tplc="ACF0195E">
      <w:start w:val="1"/>
      <w:numFmt w:val="decimal"/>
      <w:lvlRestart w:val="0"/>
      <w:lvlText w:val="%1-"/>
      <w:lvlJc w:val="left"/>
      <w:pPr>
        <w:tabs>
          <w:tab w:val="num" w:pos="0"/>
        </w:tabs>
        <w:ind w:left="720" w:hanging="360"/>
      </w:pPr>
      <w:rPr>
        <w:rFonts w:hint="default"/>
      </w:rPr>
    </w:lvl>
    <w:lvl w:ilvl="1" w:tplc="8C3A1136">
      <w:start w:val="1"/>
      <w:numFmt w:val="lowerLetter"/>
      <w:lvlText w:val="%2."/>
      <w:lvlJc w:val="left"/>
      <w:pPr>
        <w:tabs>
          <w:tab w:val="num" w:pos="0"/>
        </w:tabs>
        <w:ind w:left="1440" w:hanging="360"/>
      </w:pPr>
    </w:lvl>
    <w:lvl w:ilvl="2" w:tplc="905A6EE2">
      <w:start w:val="1"/>
      <w:numFmt w:val="lowerRoman"/>
      <w:lvlText w:val="%3."/>
      <w:lvlJc w:val="right"/>
      <w:pPr>
        <w:tabs>
          <w:tab w:val="num" w:pos="0"/>
        </w:tabs>
        <w:ind w:left="2160" w:hanging="180"/>
      </w:pPr>
    </w:lvl>
    <w:lvl w:ilvl="3" w:tplc="45AEB0F8">
      <w:start w:val="1"/>
      <w:numFmt w:val="decimal"/>
      <w:lvlText w:val="%4."/>
      <w:lvlJc w:val="left"/>
      <w:pPr>
        <w:tabs>
          <w:tab w:val="num" w:pos="0"/>
        </w:tabs>
        <w:ind w:left="2880" w:hanging="360"/>
      </w:pPr>
    </w:lvl>
    <w:lvl w:ilvl="4" w:tplc="B2DAF6F4">
      <w:start w:val="1"/>
      <w:numFmt w:val="lowerLetter"/>
      <w:lvlText w:val="%5."/>
      <w:lvlJc w:val="left"/>
      <w:pPr>
        <w:tabs>
          <w:tab w:val="num" w:pos="0"/>
        </w:tabs>
        <w:ind w:left="3600" w:hanging="360"/>
      </w:pPr>
    </w:lvl>
    <w:lvl w:ilvl="5" w:tplc="A6F0C596">
      <w:start w:val="1"/>
      <w:numFmt w:val="lowerRoman"/>
      <w:lvlText w:val="%6."/>
      <w:lvlJc w:val="right"/>
      <w:pPr>
        <w:tabs>
          <w:tab w:val="num" w:pos="0"/>
        </w:tabs>
        <w:ind w:left="4320" w:hanging="180"/>
      </w:pPr>
    </w:lvl>
    <w:lvl w:ilvl="6" w:tplc="A98CE730">
      <w:start w:val="1"/>
      <w:numFmt w:val="decimal"/>
      <w:lvlText w:val="%7."/>
      <w:lvlJc w:val="left"/>
      <w:pPr>
        <w:tabs>
          <w:tab w:val="num" w:pos="0"/>
        </w:tabs>
        <w:ind w:left="5040" w:hanging="360"/>
      </w:pPr>
    </w:lvl>
    <w:lvl w:ilvl="7" w:tplc="B7908BC2">
      <w:start w:val="1"/>
      <w:numFmt w:val="lowerLetter"/>
      <w:lvlText w:val="%8."/>
      <w:lvlJc w:val="left"/>
      <w:pPr>
        <w:tabs>
          <w:tab w:val="num" w:pos="0"/>
        </w:tabs>
        <w:ind w:left="5760" w:hanging="360"/>
      </w:pPr>
    </w:lvl>
    <w:lvl w:ilvl="8" w:tplc="F288E410">
      <w:start w:val="1"/>
      <w:numFmt w:val="lowerRoman"/>
      <w:lvlText w:val="%9."/>
      <w:lvlJc w:val="right"/>
      <w:pPr>
        <w:tabs>
          <w:tab w:val="num" w:pos="0"/>
        </w:tabs>
        <w:ind w:left="6480" w:hanging="180"/>
      </w:pPr>
    </w:lvl>
  </w:abstractNum>
  <w:abstractNum w:abstractNumId="18" w15:restartNumberingAfterBreak="0">
    <w:nsid w:val="275115EB"/>
    <w:multiLevelType w:val="hybridMultilevel"/>
    <w:tmpl w:val="89AC0644"/>
    <w:lvl w:ilvl="0" w:tplc="E0C0B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954115"/>
    <w:multiLevelType w:val="hybridMultilevel"/>
    <w:tmpl w:val="97FE72E8"/>
    <w:lvl w:ilvl="0" w:tplc="A69082D0">
      <w:start w:val="1"/>
      <w:numFmt w:val="decimal"/>
      <w:lvlText w:val="%1-"/>
      <w:lvlJc w:val="left"/>
      <w:pPr>
        <w:ind w:left="720" w:hanging="360"/>
      </w:pPr>
      <w:rPr>
        <w:rFonts w:hint="default"/>
        <w:b/>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3C1613"/>
    <w:multiLevelType w:val="hybridMultilevel"/>
    <w:tmpl w:val="322AF7BE"/>
    <w:lvl w:ilvl="0" w:tplc="86CCA32A">
      <w:start w:val="1"/>
      <w:numFmt w:val="decimal"/>
      <w:lvlText w:val="%1-"/>
      <w:lvlJc w:val="left"/>
      <w:pPr>
        <w:ind w:left="810" w:hanging="360"/>
      </w:pPr>
      <w:rPr>
        <w:rFonts w:hint="default"/>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33AC0669"/>
    <w:multiLevelType w:val="hybridMultilevel"/>
    <w:tmpl w:val="5B0E8A86"/>
    <w:lvl w:ilvl="0" w:tplc="0ACEFCD6">
      <w:start w:val="1"/>
      <w:numFmt w:val="decimal"/>
      <w:lvlRestart w:val="0"/>
      <w:lvlText w:val="%1-"/>
      <w:lvlJc w:val="left"/>
      <w:pPr>
        <w:tabs>
          <w:tab w:val="num" w:pos="0"/>
        </w:tabs>
        <w:ind w:left="720" w:hanging="360"/>
      </w:pPr>
      <w:rPr>
        <w:rFonts w:hint="default"/>
      </w:rPr>
    </w:lvl>
    <w:lvl w:ilvl="1" w:tplc="5FFA718A">
      <w:start w:val="1"/>
      <w:numFmt w:val="lowerLetter"/>
      <w:lvlText w:val="%2."/>
      <w:lvlJc w:val="left"/>
      <w:pPr>
        <w:tabs>
          <w:tab w:val="num" w:pos="0"/>
        </w:tabs>
        <w:ind w:left="1440" w:hanging="360"/>
      </w:pPr>
    </w:lvl>
    <w:lvl w:ilvl="2" w:tplc="3ACE6616">
      <w:start w:val="1"/>
      <w:numFmt w:val="lowerRoman"/>
      <w:lvlText w:val="%3."/>
      <w:lvlJc w:val="right"/>
      <w:pPr>
        <w:tabs>
          <w:tab w:val="num" w:pos="0"/>
        </w:tabs>
        <w:ind w:left="2160" w:hanging="180"/>
      </w:pPr>
    </w:lvl>
    <w:lvl w:ilvl="3" w:tplc="BF9A25CA">
      <w:start w:val="1"/>
      <w:numFmt w:val="decimal"/>
      <w:lvlText w:val="%4."/>
      <w:lvlJc w:val="left"/>
      <w:pPr>
        <w:tabs>
          <w:tab w:val="num" w:pos="0"/>
        </w:tabs>
        <w:ind w:left="2880" w:hanging="360"/>
      </w:pPr>
    </w:lvl>
    <w:lvl w:ilvl="4" w:tplc="38C084EA">
      <w:start w:val="1"/>
      <w:numFmt w:val="lowerLetter"/>
      <w:lvlText w:val="%5."/>
      <w:lvlJc w:val="left"/>
      <w:pPr>
        <w:tabs>
          <w:tab w:val="num" w:pos="0"/>
        </w:tabs>
        <w:ind w:left="3600" w:hanging="360"/>
      </w:pPr>
    </w:lvl>
    <w:lvl w:ilvl="5" w:tplc="855A726C">
      <w:start w:val="1"/>
      <w:numFmt w:val="lowerRoman"/>
      <w:lvlText w:val="%6."/>
      <w:lvlJc w:val="right"/>
      <w:pPr>
        <w:tabs>
          <w:tab w:val="num" w:pos="0"/>
        </w:tabs>
        <w:ind w:left="4320" w:hanging="180"/>
      </w:pPr>
    </w:lvl>
    <w:lvl w:ilvl="6" w:tplc="381CF312">
      <w:start w:val="1"/>
      <w:numFmt w:val="decimal"/>
      <w:lvlText w:val="%7."/>
      <w:lvlJc w:val="left"/>
      <w:pPr>
        <w:tabs>
          <w:tab w:val="num" w:pos="0"/>
        </w:tabs>
        <w:ind w:left="5040" w:hanging="360"/>
      </w:pPr>
    </w:lvl>
    <w:lvl w:ilvl="7" w:tplc="91365A56">
      <w:start w:val="1"/>
      <w:numFmt w:val="lowerLetter"/>
      <w:lvlText w:val="%8."/>
      <w:lvlJc w:val="left"/>
      <w:pPr>
        <w:tabs>
          <w:tab w:val="num" w:pos="0"/>
        </w:tabs>
        <w:ind w:left="5760" w:hanging="360"/>
      </w:pPr>
    </w:lvl>
    <w:lvl w:ilvl="8" w:tplc="E898B83E">
      <w:start w:val="1"/>
      <w:numFmt w:val="lowerRoman"/>
      <w:lvlText w:val="%9."/>
      <w:lvlJc w:val="right"/>
      <w:pPr>
        <w:tabs>
          <w:tab w:val="num" w:pos="0"/>
        </w:tabs>
        <w:ind w:left="6480" w:hanging="180"/>
      </w:pPr>
    </w:lvl>
  </w:abstractNum>
  <w:abstractNum w:abstractNumId="22" w15:restartNumberingAfterBreak="0">
    <w:nsid w:val="345027B6"/>
    <w:multiLevelType w:val="hybridMultilevel"/>
    <w:tmpl w:val="9ED608CC"/>
    <w:lvl w:ilvl="0" w:tplc="CEDA39F0">
      <w:start w:val="1"/>
      <w:numFmt w:val="decimal"/>
      <w:lvlRestart w:val="0"/>
      <w:lvlText w:val="%1-"/>
      <w:lvlJc w:val="left"/>
      <w:pPr>
        <w:tabs>
          <w:tab w:val="num" w:pos="0"/>
        </w:tabs>
        <w:ind w:left="1080" w:hanging="720"/>
      </w:pPr>
      <w:rPr>
        <w:rFonts w:hint="default"/>
      </w:rPr>
    </w:lvl>
    <w:lvl w:ilvl="1" w:tplc="3E70CD60">
      <w:start w:val="1"/>
      <w:numFmt w:val="lowerLetter"/>
      <w:lvlText w:val="%2."/>
      <w:lvlJc w:val="left"/>
      <w:pPr>
        <w:tabs>
          <w:tab w:val="num" w:pos="0"/>
        </w:tabs>
        <w:ind w:left="1440" w:hanging="360"/>
      </w:pPr>
    </w:lvl>
    <w:lvl w:ilvl="2" w:tplc="5DF03DC0">
      <w:start w:val="1"/>
      <w:numFmt w:val="lowerRoman"/>
      <w:lvlText w:val="%3."/>
      <w:lvlJc w:val="right"/>
      <w:pPr>
        <w:tabs>
          <w:tab w:val="num" w:pos="0"/>
        </w:tabs>
        <w:ind w:left="2160" w:hanging="180"/>
      </w:pPr>
    </w:lvl>
    <w:lvl w:ilvl="3" w:tplc="73B202C2">
      <w:start w:val="1"/>
      <w:numFmt w:val="decimal"/>
      <w:lvlText w:val="%4."/>
      <w:lvlJc w:val="left"/>
      <w:pPr>
        <w:tabs>
          <w:tab w:val="num" w:pos="0"/>
        </w:tabs>
        <w:ind w:left="2880" w:hanging="360"/>
      </w:pPr>
    </w:lvl>
    <w:lvl w:ilvl="4" w:tplc="2842D7F8">
      <w:start w:val="1"/>
      <w:numFmt w:val="lowerLetter"/>
      <w:lvlText w:val="%5."/>
      <w:lvlJc w:val="left"/>
      <w:pPr>
        <w:tabs>
          <w:tab w:val="num" w:pos="0"/>
        </w:tabs>
        <w:ind w:left="3600" w:hanging="360"/>
      </w:pPr>
    </w:lvl>
    <w:lvl w:ilvl="5" w:tplc="DEEED328">
      <w:start w:val="1"/>
      <w:numFmt w:val="lowerRoman"/>
      <w:lvlText w:val="%6."/>
      <w:lvlJc w:val="right"/>
      <w:pPr>
        <w:tabs>
          <w:tab w:val="num" w:pos="0"/>
        </w:tabs>
        <w:ind w:left="4320" w:hanging="180"/>
      </w:pPr>
    </w:lvl>
    <w:lvl w:ilvl="6" w:tplc="3D2884D8">
      <w:start w:val="1"/>
      <w:numFmt w:val="decimal"/>
      <w:lvlText w:val="%7."/>
      <w:lvlJc w:val="left"/>
      <w:pPr>
        <w:tabs>
          <w:tab w:val="num" w:pos="0"/>
        </w:tabs>
        <w:ind w:left="5040" w:hanging="360"/>
      </w:pPr>
    </w:lvl>
    <w:lvl w:ilvl="7" w:tplc="F2869B1A">
      <w:start w:val="1"/>
      <w:numFmt w:val="lowerLetter"/>
      <w:lvlText w:val="%8."/>
      <w:lvlJc w:val="left"/>
      <w:pPr>
        <w:tabs>
          <w:tab w:val="num" w:pos="0"/>
        </w:tabs>
        <w:ind w:left="5760" w:hanging="360"/>
      </w:pPr>
    </w:lvl>
    <w:lvl w:ilvl="8" w:tplc="D31204BE">
      <w:start w:val="1"/>
      <w:numFmt w:val="lowerRoman"/>
      <w:lvlText w:val="%9."/>
      <w:lvlJc w:val="right"/>
      <w:pPr>
        <w:tabs>
          <w:tab w:val="num" w:pos="0"/>
        </w:tabs>
        <w:ind w:left="6480" w:hanging="180"/>
      </w:pPr>
    </w:lvl>
  </w:abstractNum>
  <w:abstractNum w:abstractNumId="23" w15:restartNumberingAfterBreak="0">
    <w:nsid w:val="389E5212"/>
    <w:multiLevelType w:val="hybridMultilevel"/>
    <w:tmpl w:val="4140AB2E"/>
    <w:lvl w:ilvl="0" w:tplc="496C49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972076"/>
    <w:multiLevelType w:val="hybridMultilevel"/>
    <w:tmpl w:val="3800C3C4"/>
    <w:lvl w:ilvl="0" w:tplc="E16EF93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A15B3"/>
    <w:multiLevelType w:val="hybridMultilevel"/>
    <w:tmpl w:val="52DAE4B2"/>
    <w:lvl w:ilvl="0" w:tplc="1E68F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F62932"/>
    <w:multiLevelType w:val="hybridMultilevel"/>
    <w:tmpl w:val="8DD225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8A65D7"/>
    <w:multiLevelType w:val="hybridMultilevel"/>
    <w:tmpl w:val="3828D802"/>
    <w:lvl w:ilvl="0" w:tplc="2D9C2F66">
      <w:start w:val="1"/>
      <w:numFmt w:val="decimal"/>
      <w:lvlRestart w:val="0"/>
      <w:lvlText w:val="%1-"/>
      <w:lvlJc w:val="left"/>
      <w:pPr>
        <w:tabs>
          <w:tab w:val="num" w:pos="0"/>
        </w:tabs>
        <w:ind w:left="720" w:hanging="360"/>
      </w:pPr>
      <w:rPr>
        <w:rFonts w:hint="default"/>
      </w:rPr>
    </w:lvl>
    <w:lvl w:ilvl="1" w:tplc="E3B2CE92">
      <w:start w:val="1"/>
      <w:numFmt w:val="lowerLetter"/>
      <w:lvlText w:val="%2."/>
      <w:lvlJc w:val="left"/>
      <w:pPr>
        <w:tabs>
          <w:tab w:val="num" w:pos="0"/>
        </w:tabs>
        <w:ind w:left="1440" w:hanging="360"/>
      </w:pPr>
    </w:lvl>
    <w:lvl w:ilvl="2" w:tplc="6B7E6368">
      <w:start w:val="1"/>
      <w:numFmt w:val="lowerRoman"/>
      <w:lvlText w:val="%3."/>
      <w:lvlJc w:val="right"/>
      <w:pPr>
        <w:tabs>
          <w:tab w:val="num" w:pos="0"/>
        </w:tabs>
        <w:ind w:left="2160" w:hanging="180"/>
      </w:pPr>
    </w:lvl>
    <w:lvl w:ilvl="3" w:tplc="1B0A9634">
      <w:start w:val="1"/>
      <w:numFmt w:val="decimal"/>
      <w:lvlText w:val="%4."/>
      <w:lvlJc w:val="left"/>
      <w:pPr>
        <w:tabs>
          <w:tab w:val="num" w:pos="0"/>
        </w:tabs>
        <w:ind w:left="2880" w:hanging="360"/>
      </w:pPr>
    </w:lvl>
    <w:lvl w:ilvl="4" w:tplc="E5AE0868">
      <w:start w:val="1"/>
      <w:numFmt w:val="lowerLetter"/>
      <w:lvlText w:val="%5."/>
      <w:lvlJc w:val="left"/>
      <w:pPr>
        <w:tabs>
          <w:tab w:val="num" w:pos="0"/>
        </w:tabs>
        <w:ind w:left="3600" w:hanging="360"/>
      </w:pPr>
    </w:lvl>
    <w:lvl w:ilvl="5" w:tplc="FB86D7AC">
      <w:start w:val="1"/>
      <w:numFmt w:val="lowerRoman"/>
      <w:lvlText w:val="%6."/>
      <w:lvlJc w:val="right"/>
      <w:pPr>
        <w:tabs>
          <w:tab w:val="num" w:pos="0"/>
        </w:tabs>
        <w:ind w:left="4320" w:hanging="180"/>
      </w:pPr>
    </w:lvl>
    <w:lvl w:ilvl="6" w:tplc="9424A61E">
      <w:start w:val="1"/>
      <w:numFmt w:val="decimal"/>
      <w:lvlText w:val="%7."/>
      <w:lvlJc w:val="left"/>
      <w:pPr>
        <w:tabs>
          <w:tab w:val="num" w:pos="0"/>
        </w:tabs>
        <w:ind w:left="5040" w:hanging="360"/>
      </w:pPr>
    </w:lvl>
    <w:lvl w:ilvl="7" w:tplc="74148226">
      <w:start w:val="1"/>
      <w:numFmt w:val="lowerLetter"/>
      <w:lvlText w:val="%8."/>
      <w:lvlJc w:val="left"/>
      <w:pPr>
        <w:tabs>
          <w:tab w:val="num" w:pos="0"/>
        </w:tabs>
        <w:ind w:left="5760" w:hanging="360"/>
      </w:pPr>
    </w:lvl>
    <w:lvl w:ilvl="8" w:tplc="5C884498">
      <w:start w:val="1"/>
      <w:numFmt w:val="lowerRoman"/>
      <w:lvlText w:val="%9."/>
      <w:lvlJc w:val="right"/>
      <w:pPr>
        <w:tabs>
          <w:tab w:val="num" w:pos="0"/>
        </w:tabs>
        <w:ind w:left="6480" w:hanging="180"/>
      </w:pPr>
    </w:lvl>
  </w:abstractNum>
  <w:abstractNum w:abstractNumId="28" w15:restartNumberingAfterBreak="0">
    <w:nsid w:val="4F006BCD"/>
    <w:multiLevelType w:val="hybridMultilevel"/>
    <w:tmpl w:val="5E044C44"/>
    <w:lvl w:ilvl="0" w:tplc="90E2D0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29D14B5"/>
    <w:multiLevelType w:val="hybridMultilevel"/>
    <w:tmpl w:val="B1F4587C"/>
    <w:lvl w:ilvl="0" w:tplc="5096F6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C359E"/>
    <w:multiLevelType w:val="hybridMultilevel"/>
    <w:tmpl w:val="574A1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1" w15:restartNumberingAfterBreak="0">
    <w:nsid w:val="560D7082"/>
    <w:multiLevelType w:val="hybridMultilevel"/>
    <w:tmpl w:val="6D98F866"/>
    <w:lvl w:ilvl="0" w:tplc="D40C8A0C">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B8A7627"/>
    <w:multiLevelType w:val="hybridMultilevel"/>
    <w:tmpl w:val="02E8EA1E"/>
    <w:lvl w:ilvl="0" w:tplc="44A4B992">
      <w:start w:val="1"/>
      <w:numFmt w:val="decimal"/>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A0485C"/>
    <w:multiLevelType w:val="hybridMultilevel"/>
    <w:tmpl w:val="438CB072"/>
    <w:lvl w:ilvl="0" w:tplc="3D926914">
      <w:start w:val="1"/>
      <w:numFmt w:val="decimal"/>
      <w:lvlRestart w:val="0"/>
      <w:lvlText w:val="%1-"/>
      <w:lvlJc w:val="left"/>
      <w:pPr>
        <w:tabs>
          <w:tab w:val="num" w:pos="0"/>
        </w:tabs>
        <w:ind w:left="780" w:hanging="420"/>
      </w:pPr>
      <w:rPr>
        <w:rFonts w:hint="default"/>
      </w:rPr>
    </w:lvl>
    <w:lvl w:ilvl="1" w:tplc="A4D88650">
      <w:start w:val="1"/>
      <w:numFmt w:val="lowerLetter"/>
      <w:lvlText w:val="%2."/>
      <w:lvlJc w:val="left"/>
      <w:pPr>
        <w:tabs>
          <w:tab w:val="num" w:pos="0"/>
        </w:tabs>
        <w:ind w:left="1440" w:hanging="360"/>
      </w:pPr>
    </w:lvl>
    <w:lvl w:ilvl="2" w:tplc="1812C014">
      <w:start w:val="1"/>
      <w:numFmt w:val="lowerRoman"/>
      <w:lvlText w:val="%3."/>
      <w:lvlJc w:val="right"/>
      <w:pPr>
        <w:tabs>
          <w:tab w:val="num" w:pos="0"/>
        </w:tabs>
        <w:ind w:left="2160" w:hanging="180"/>
      </w:pPr>
    </w:lvl>
    <w:lvl w:ilvl="3" w:tplc="67546906">
      <w:start w:val="1"/>
      <w:numFmt w:val="decimal"/>
      <w:lvlText w:val="%4."/>
      <w:lvlJc w:val="left"/>
      <w:pPr>
        <w:tabs>
          <w:tab w:val="num" w:pos="0"/>
        </w:tabs>
        <w:ind w:left="2880" w:hanging="360"/>
      </w:pPr>
    </w:lvl>
    <w:lvl w:ilvl="4" w:tplc="90801EF4">
      <w:start w:val="1"/>
      <w:numFmt w:val="lowerLetter"/>
      <w:lvlText w:val="%5."/>
      <w:lvlJc w:val="left"/>
      <w:pPr>
        <w:tabs>
          <w:tab w:val="num" w:pos="0"/>
        </w:tabs>
        <w:ind w:left="3600" w:hanging="360"/>
      </w:pPr>
    </w:lvl>
    <w:lvl w:ilvl="5" w:tplc="F9ACDD98">
      <w:start w:val="1"/>
      <w:numFmt w:val="lowerRoman"/>
      <w:lvlText w:val="%6."/>
      <w:lvlJc w:val="right"/>
      <w:pPr>
        <w:tabs>
          <w:tab w:val="num" w:pos="0"/>
        </w:tabs>
        <w:ind w:left="4320" w:hanging="180"/>
      </w:pPr>
    </w:lvl>
    <w:lvl w:ilvl="6" w:tplc="B4303F18">
      <w:start w:val="1"/>
      <w:numFmt w:val="decimal"/>
      <w:lvlText w:val="%7."/>
      <w:lvlJc w:val="left"/>
      <w:pPr>
        <w:tabs>
          <w:tab w:val="num" w:pos="0"/>
        </w:tabs>
        <w:ind w:left="5040" w:hanging="360"/>
      </w:pPr>
    </w:lvl>
    <w:lvl w:ilvl="7" w:tplc="058E8AB6">
      <w:start w:val="1"/>
      <w:numFmt w:val="lowerLetter"/>
      <w:lvlText w:val="%8."/>
      <w:lvlJc w:val="left"/>
      <w:pPr>
        <w:tabs>
          <w:tab w:val="num" w:pos="0"/>
        </w:tabs>
        <w:ind w:left="5760" w:hanging="360"/>
      </w:pPr>
    </w:lvl>
    <w:lvl w:ilvl="8" w:tplc="E4C6125E">
      <w:start w:val="1"/>
      <w:numFmt w:val="lowerRoman"/>
      <w:lvlText w:val="%9."/>
      <w:lvlJc w:val="right"/>
      <w:pPr>
        <w:tabs>
          <w:tab w:val="num" w:pos="0"/>
        </w:tabs>
        <w:ind w:left="6480" w:hanging="180"/>
      </w:pPr>
    </w:lvl>
  </w:abstractNum>
  <w:abstractNum w:abstractNumId="34" w15:restartNumberingAfterBreak="0">
    <w:nsid w:val="5BDB2F8E"/>
    <w:multiLevelType w:val="hybridMultilevel"/>
    <w:tmpl w:val="3594BA82"/>
    <w:lvl w:ilvl="0" w:tplc="A13C0190">
      <w:start w:val="7"/>
      <w:numFmt w:val="decimal"/>
      <w:lvlText w:val="%1-"/>
      <w:lvlJc w:val="left"/>
      <w:pPr>
        <w:ind w:left="792" w:hanging="432"/>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414039"/>
    <w:multiLevelType w:val="hybridMultilevel"/>
    <w:tmpl w:val="D2CEC4D0"/>
    <w:lvl w:ilvl="0" w:tplc="CB6A1E94">
      <w:start w:val="1"/>
      <w:numFmt w:val="decimal"/>
      <w:lvlRestart w:val="0"/>
      <w:lvlText w:val="%1-"/>
      <w:lvlJc w:val="left"/>
      <w:pPr>
        <w:tabs>
          <w:tab w:val="num" w:pos="-1080"/>
        </w:tabs>
        <w:ind w:left="360" w:hanging="360"/>
      </w:pPr>
      <w:rPr>
        <w:rFonts w:hint="default"/>
      </w:rPr>
    </w:lvl>
    <w:lvl w:ilvl="1" w:tplc="77E63634">
      <w:start w:val="1"/>
      <w:numFmt w:val="lowerLetter"/>
      <w:lvlText w:val="%2."/>
      <w:lvlJc w:val="left"/>
      <w:pPr>
        <w:tabs>
          <w:tab w:val="num" w:pos="-1080"/>
        </w:tabs>
        <w:ind w:left="1080" w:hanging="360"/>
      </w:pPr>
    </w:lvl>
    <w:lvl w:ilvl="2" w:tplc="DCAAF1D8">
      <w:start w:val="1"/>
      <w:numFmt w:val="lowerRoman"/>
      <w:lvlText w:val="%3."/>
      <w:lvlJc w:val="right"/>
      <w:pPr>
        <w:tabs>
          <w:tab w:val="num" w:pos="-1080"/>
        </w:tabs>
        <w:ind w:left="1800" w:hanging="180"/>
      </w:pPr>
    </w:lvl>
    <w:lvl w:ilvl="3" w:tplc="B4FA5376">
      <w:start w:val="1"/>
      <w:numFmt w:val="decimal"/>
      <w:lvlText w:val="%4."/>
      <w:lvlJc w:val="left"/>
      <w:pPr>
        <w:tabs>
          <w:tab w:val="num" w:pos="-1080"/>
        </w:tabs>
        <w:ind w:left="2520" w:hanging="360"/>
      </w:pPr>
    </w:lvl>
    <w:lvl w:ilvl="4" w:tplc="5B7E7542">
      <w:start w:val="1"/>
      <w:numFmt w:val="lowerLetter"/>
      <w:lvlText w:val="%5."/>
      <w:lvlJc w:val="left"/>
      <w:pPr>
        <w:tabs>
          <w:tab w:val="num" w:pos="-1080"/>
        </w:tabs>
        <w:ind w:left="3240" w:hanging="360"/>
      </w:pPr>
    </w:lvl>
    <w:lvl w:ilvl="5" w:tplc="ED068A50">
      <w:start w:val="1"/>
      <w:numFmt w:val="lowerRoman"/>
      <w:lvlText w:val="%6."/>
      <w:lvlJc w:val="right"/>
      <w:pPr>
        <w:tabs>
          <w:tab w:val="num" w:pos="-1080"/>
        </w:tabs>
        <w:ind w:left="3960" w:hanging="180"/>
      </w:pPr>
    </w:lvl>
    <w:lvl w:ilvl="6" w:tplc="83F836A8">
      <w:start w:val="1"/>
      <w:numFmt w:val="decimal"/>
      <w:lvlText w:val="%7."/>
      <w:lvlJc w:val="left"/>
      <w:pPr>
        <w:tabs>
          <w:tab w:val="num" w:pos="-1080"/>
        </w:tabs>
        <w:ind w:left="4680" w:hanging="360"/>
      </w:pPr>
    </w:lvl>
    <w:lvl w:ilvl="7" w:tplc="141AB02E">
      <w:start w:val="1"/>
      <w:numFmt w:val="lowerLetter"/>
      <w:lvlText w:val="%8."/>
      <w:lvlJc w:val="left"/>
      <w:pPr>
        <w:tabs>
          <w:tab w:val="num" w:pos="-1080"/>
        </w:tabs>
        <w:ind w:left="5400" w:hanging="360"/>
      </w:pPr>
    </w:lvl>
    <w:lvl w:ilvl="8" w:tplc="710437EC">
      <w:start w:val="1"/>
      <w:numFmt w:val="lowerRoman"/>
      <w:lvlText w:val="%9."/>
      <w:lvlJc w:val="right"/>
      <w:pPr>
        <w:tabs>
          <w:tab w:val="num" w:pos="-1080"/>
        </w:tabs>
        <w:ind w:left="6120" w:hanging="180"/>
      </w:pPr>
    </w:lvl>
  </w:abstractNum>
  <w:abstractNum w:abstractNumId="36" w15:restartNumberingAfterBreak="0">
    <w:nsid w:val="5EC86877"/>
    <w:multiLevelType w:val="hybridMultilevel"/>
    <w:tmpl w:val="B600BE7C"/>
    <w:lvl w:ilvl="0" w:tplc="163C4F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6578DC"/>
    <w:multiLevelType w:val="hybridMultilevel"/>
    <w:tmpl w:val="55F862D6"/>
    <w:lvl w:ilvl="0" w:tplc="48CC0628">
      <w:start w:val="1"/>
      <w:numFmt w:val="arabicAlpha"/>
      <w:lvlText w:val="%1-"/>
      <w:lvlJc w:val="left"/>
      <w:pPr>
        <w:ind w:left="720" w:hanging="360"/>
      </w:pPr>
      <w:rPr>
        <w:rFonts w:hint="default"/>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0E2A6A"/>
    <w:multiLevelType w:val="hybridMultilevel"/>
    <w:tmpl w:val="900CAB04"/>
    <w:lvl w:ilvl="0" w:tplc="61628C04">
      <w:start w:val="1"/>
      <w:numFmt w:val="arabicAlpha"/>
      <w:lvlText w:val="%1-"/>
      <w:lvlJc w:val="left"/>
      <w:pPr>
        <w:ind w:left="1080" w:hanging="360"/>
      </w:pPr>
      <w:rPr>
        <w:rFonts w:ascii="Simplified Arabic" w:eastAsia="Times New Roman" w:hAnsi="Simplified Arabic" w:cs="Simplified Arabic"/>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B16E03"/>
    <w:multiLevelType w:val="hybridMultilevel"/>
    <w:tmpl w:val="5A62F21E"/>
    <w:lvl w:ilvl="0" w:tplc="458696FA">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64AC69C1"/>
    <w:multiLevelType w:val="hybridMultilevel"/>
    <w:tmpl w:val="DBFABEB0"/>
    <w:lvl w:ilvl="0" w:tplc="9E4E8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D95E30"/>
    <w:multiLevelType w:val="hybridMultilevel"/>
    <w:tmpl w:val="486CB0E0"/>
    <w:lvl w:ilvl="0" w:tplc="5DB8F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643437"/>
    <w:multiLevelType w:val="hybridMultilevel"/>
    <w:tmpl w:val="42E25114"/>
    <w:lvl w:ilvl="0" w:tplc="EEA855EE">
      <w:start w:val="1"/>
      <w:numFmt w:val="arabicAlpha"/>
      <w:lvlText w:val="%1-"/>
      <w:lvlJc w:val="left"/>
      <w:pPr>
        <w:ind w:left="1080" w:hanging="360"/>
      </w:pPr>
      <w:rPr>
        <w:rFonts w:hint="default"/>
        <w:b/>
        <w:bCs/>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1192DFE"/>
    <w:multiLevelType w:val="hybridMultilevel"/>
    <w:tmpl w:val="CF3CB368"/>
    <w:lvl w:ilvl="0" w:tplc="254422D0">
      <w:start w:val="1"/>
      <w:numFmt w:val="decimal"/>
      <w:lvlRestart w:val="0"/>
      <w:lvlText w:val="%1-"/>
      <w:lvlJc w:val="left"/>
      <w:pPr>
        <w:tabs>
          <w:tab w:val="num" w:pos="-1080"/>
        </w:tabs>
        <w:ind w:left="360" w:hanging="360"/>
      </w:pPr>
      <w:rPr>
        <w:rFonts w:hint="default"/>
        <w:b w:val="0"/>
      </w:rPr>
    </w:lvl>
    <w:lvl w:ilvl="1" w:tplc="FD0A23EC">
      <w:start w:val="1"/>
      <w:numFmt w:val="lowerLetter"/>
      <w:lvlText w:val="%2."/>
      <w:lvlJc w:val="left"/>
      <w:pPr>
        <w:tabs>
          <w:tab w:val="num" w:pos="-1080"/>
        </w:tabs>
        <w:ind w:left="1080" w:hanging="360"/>
      </w:pPr>
    </w:lvl>
    <w:lvl w:ilvl="2" w:tplc="70444700">
      <w:start w:val="1"/>
      <w:numFmt w:val="lowerRoman"/>
      <w:lvlText w:val="%3."/>
      <w:lvlJc w:val="right"/>
      <w:pPr>
        <w:tabs>
          <w:tab w:val="num" w:pos="-1080"/>
        </w:tabs>
        <w:ind w:left="1800" w:hanging="180"/>
      </w:pPr>
    </w:lvl>
    <w:lvl w:ilvl="3" w:tplc="3D542CB0">
      <w:start w:val="1"/>
      <w:numFmt w:val="decimal"/>
      <w:lvlText w:val="%4."/>
      <w:lvlJc w:val="left"/>
      <w:pPr>
        <w:tabs>
          <w:tab w:val="num" w:pos="-1080"/>
        </w:tabs>
        <w:ind w:left="2520" w:hanging="360"/>
      </w:pPr>
    </w:lvl>
    <w:lvl w:ilvl="4" w:tplc="D91471D6">
      <w:start w:val="1"/>
      <w:numFmt w:val="lowerLetter"/>
      <w:lvlText w:val="%5."/>
      <w:lvlJc w:val="left"/>
      <w:pPr>
        <w:tabs>
          <w:tab w:val="num" w:pos="-1080"/>
        </w:tabs>
        <w:ind w:left="3240" w:hanging="360"/>
      </w:pPr>
    </w:lvl>
    <w:lvl w:ilvl="5" w:tplc="92F8A46A">
      <w:start w:val="1"/>
      <w:numFmt w:val="lowerRoman"/>
      <w:lvlText w:val="%6."/>
      <w:lvlJc w:val="right"/>
      <w:pPr>
        <w:tabs>
          <w:tab w:val="num" w:pos="-1080"/>
        </w:tabs>
        <w:ind w:left="3960" w:hanging="180"/>
      </w:pPr>
    </w:lvl>
    <w:lvl w:ilvl="6" w:tplc="E16A4388">
      <w:start w:val="1"/>
      <w:numFmt w:val="decimal"/>
      <w:lvlText w:val="%7."/>
      <w:lvlJc w:val="left"/>
      <w:pPr>
        <w:tabs>
          <w:tab w:val="num" w:pos="-1080"/>
        </w:tabs>
        <w:ind w:left="4680" w:hanging="360"/>
      </w:pPr>
    </w:lvl>
    <w:lvl w:ilvl="7" w:tplc="0C427B06">
      <w:start w:val="1"/>
      <w:numFmt w:val="lowerLetter"/>
      <w:lvlText w:val="%8."/>
      <w:lvlJc w:val="left"/>
      <w:pPr>
        <w:tabs>
          <w:tab w:val="num" w:pos="-1080"/>
        </w:tabs>
        <w:ind w:left="5400" w:hanging="360"/>
      </w:pPr>
    </w:lvl>
    <w:lvl w:ilvl="8" w:tplc="1134366C">
      <w:start w:val="1"/>
      <w:numFmt w:val="lowerRoman"/>
      <w:lvlText w:val="%9."/>
      <w:lvlJc w:val="right"/>
      <w:pPr>
        <w:tabs>
          <w:tab w:val="num" w:pos="-1080"/>
        </w:tabs>
        <w:ind w:left="6120" w:hanging="180"/>
      </w:pPr>
    </w:lvl>
  </w:abstractNum>
  <w:abstractNum w:abstractNumId="44" w15:restartNumberingAfterBreak="0">
    <w:nsid w:val="73D86AC2"/>
    <w:multiLevelType w:val="hybridMultilevel"/>
    <w:tmpl w:val="63CCFA28"/>
    <w:lvl w:ilvl="0" w:tplc="C2FCB24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5" w15:restartNumberingAfterBreak="0">
    <w:nsid w:val="77862BC2"/>
    <w:multiLevelType w:val="hybridMultilevel"/>
    <w:tmpl w:val="B92C3AAE"/>
    <w:lvl w:ilvl="0" w:tplc="B2B67F6C">
      <w:start w:val="2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3B6ACB"/>
    <w:multiLevelType w:val="hybridMultilevel"/>
    <w:tmpl w:val="54D8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D0179B"/>
    <w:multiLevelType w:val="hybridMultilevel"/>
    <w:tmpl w:val="A7D4FBBC"/>
    <w:lvl w:ilvl="0" w:tplc="447A8BFC">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001278890">
    <w:abstractNumId w:val="13"/>
  </w:num>
  <w:num w:numId="2" w16cid:durableId="1998217610">
    <w:abstractNumId w:val="12"/>
  </w:num>
  <w:num w:numId="3" w16cid:durableId="333728124">
    <w:abstractNumId w:val="2"/>
  </w:num>
  <w:num w:numId="4" w16cid:durableId="1035886088">
    <w:abstractNumId w:val="1"/>
  </w:num>
  <w:num w:numId="5" w16cid:durableId="2047557246">
    <w:abstractNumId w:val="6"/>
  </w:num>
  <w:num w:numId="6" w16cid:durableId="2066563531">
    <w:abstractNumId w:val="9"/>
  </w:num>
  <w:num w:numId="7" w16cid:durableId="170223391">
    <w:abstractNumId w:val="16"/>
  </w:num>
  <w:num w:numId="8" w16cid:durableId="1685521993">
    <w:abstractNumId w:val="33"/>
  </w:num>
  <w:num w:numId="9" w16cid:durableId="1568757804">
    <w:abstractNumId w:val="3"/>
  </w:num>
  <w:num w:numId="10" w16cid:durableId="1297754739">
    <w:abstractNumId w:val="21"/>
  </w:num>
  <w:num w:numId="11" w16cid:durableId="2092846608">
    <w:abstractNumId w:val="41"/>
  </w:num>
  <w:num w:numId="12" w16cid:durableId="1576351993">
    <w:abstractNumId w:val="28"/>
  </w:num>
  <w:num w:numId="13" w16cid:durableId="1970669530">
    <w:abstractNumId w:val="38"/>
  </w:num>
  <w:num w:numId="14" w16cid:durableId="925697737">
    <w:abstractNumId w:val="24"/>
  </w:num>
  <w:num w:numId="15" w16cid:durableId="1598097507">
    <w:abstractNumId w:val="42"/>
  </w:num>
  <w:num w:numId="16" w16cid:durableId="346832200">
    <w:abstractNumId w:val="44"/>
  </w:num>
  <w:num w:numId="17" w16cid:durableId="519318835">
    <w:abstractNumId w:val="18"/>
  </w:num>
  <w:num w:numId="18" w16cid:durableId="906955357">
    <w:abstractNumId w:val="25"/>
  </w:num>
  <w:num w:numId="19" w16cid:durableId="1892420392">
    <w:abstractNumId w:val="20"/>
  </w:num>
  <w:num w:numId="20" w16cid:durableId="1362129126">
    <w:abstractNumId w:val="40"/>
  </w:num>
  <w:num w:numId="21" w16cid:durableId="551354786">
    <w:abstractNumId w:val="19"/>
  </w:num>
  <w:num w:numId="22" w16cid:durableId="1760515549">
    <w:abstractNumId w:val="31"/>
  </w:num>
  <w:num w:numId="23" w16cid:durableId="1009865978">
    <w:abstractNumId w:val="11"/>
  </w:num>
  <w:num w:numId="24" w16cid:durableId="1735927670">
    <w:abstractNumId w:val="46"/>
  </w:num>
  <w:num w:numId="25" w16cid:durableId="378096182">
    <w:abstractNumId w:val="4"/>
  </w:num>
  <w:num w:numId="26" w16cid:durableId="371031061">
    <w:abstractNumId w:val="32"/>
  </w:num>
  <w:num w:numId="27" w16cid:durableId="956447212">
    <w:abstractNumId w:val="7"/>
  </w:num>
  <w:num w:numId="28" w16cid:durableId="1721128145">
    <w:abstractNumId w:val="29"/>
  </w:num>
  <w:num w:numId="29" w16cid:durableId="2086800640">
    <w:abstractNumId w:val="37"/>
  </w:num>
  <w:num w:numId="30" w16cid:durableId="421413524">
    <w:abstractNumId w:val="47"/>
  </w:num>
  <w:num w:numId="31" w16cid:durableId="1481457947">
    <w:abstractNumId w:val="39"/>
  </w:num>
  <w:num w:numId="32" w16cid:durableId="827332520">
    <w:abstractNumId w:val="10"/>
  </w:num>
  <w:num w:numId="33" w16cid:durableId="1001618866">
    <w:abstractNumId w:val="34"/>
  </w:num>
  <w:num w:numId="34" w16cid:durableId="1947730737">
    <w:abstractNumId w:val="23"/>
  </w:num>
  <w:num w:numId="35" w16cid:durableId="1653168821">
    <w:abstractNumId w:val="14"/>
  </w:num>
  <w:num w:numId="36" w16cid:durableId="569659181">
    <w:abstractNumId w:val="26"/>
  </w:num>
  <w:num w:numId="37" w16cid:durableId="1303846179">
    <w:abstractNumId w:val="30"/>
  </w:num>
  <w:num w:numId="38" w16cid:durableId="240678241">
    <w:abstractNumId w:val="5"/>
  </w:num>
  <w:num w:numId="39" w16cid:durableId="562525030">
    <w:abstractNumId w:val="27"/>
  </w:num>
  <w:num w:numId="40" w16cid:durableId="2080858176">
    <w:abstractNumId w:val="0"/>
  </w:num>
  <w:num w:numId="41" w16cid:durableId="1847091735">
    <w:abstractNumId w:val="17"/>
  </w:num>
  <w:num w:numId="42" w16cid:durableId="1939217444">
    <w:abstractNumId w:val="35"/>
  </w:num>
  <w:num w:numId="43" w16cid:durableId="461849888">
    <w:abstractNumId w:val="43"/>
  </w:num>
  <w:num w:numId="44" w16cid:durableId="1993563037">
    <w:abstractNumId w:val="8"/>
  </w:num>
  <w:num w:numId="45" w16cid:durableId="2126657847">
    <w:abstractNumId w:val="22"/>
  </w:num>
  <w:num w:numId="46" w16cid:durableId="76371110">
    <w:abstractNumId w:val="15"/>
  </w:num>
  <w:num w:numId="47" w16cid:durableId="806432739">
    <w:abstractNumId w:val="36"/>
  </w:num>
  <w:num w:numId="48" w16cid:durableId="63486923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proofState w:spelling="clean"/>
  <w:defaultTabStop w:val="720"/>
  <w:evenAndOddHeaders/>
  <w:drawingGridHorizontalSpacing w:val="110"/>
  <w:drawingGridVerticalSpacing w:val="156"/>
  <w:displayHorizontalDrawingGridEvery w:val="0"/>
  <w:characterSpacingControl w:val="doNotCompress"/>
  <w:hdrShapeDefaults>
    <o:shapedefaults v:ext="edit" spidmax="2050"/>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E1E"/>
    <w:rsid w:val="000035A2"/>
    <w:rsid w:val="000062E6"/>
    <w:rsid w:val="00026F33"/>
    <w:rsid w:val="00037A58"/>
    <w:rsid w:val="00047E1E"/>
    <w:rsid w:val="00084CCE"/>
    <w:rsid w:val="000E3933"/>
    <w:rsid w:val="000F23FA"/>
    <w:rsid w:val="001135D4"/>
    <w:rsid w:val="0011590D"/>
    <w:rsid w:val="00120127"/>
    <w:rsid w:val="00136E6D"/>
    <w:rsid w:val="00165064"/>
    <w:rsid w:val="001B2005"/>
    <w:rsid w:val="001C3B8C"/>
    <w:rsid w:val="001C6E08"/>
    <w:rsid w:val="00271AE6"/>
    <w:rsid w:val="002867B9"/>
    <w:rsid w:val="0029324F"/>
    <w:rsid w:val="003932E2"/>
    <w:rsid w:val="003A7D77"/>
    <w:rsid w:val="003D522D"/>
    <w:rsid w:val="003F03C1"/>
    <w:rsid w:val="003F3C00"/>
    <w:rsid w:val="003F5C52"/>
    <w:rsid w:val="00414F9E"/>
    <w:rsid w:val="00426DB0"/>
    <w:rsid w:val="00455665"/>
    <w:rsid w:val="004C6E03"/>
    <w:rsid w:val="004D758F"/>
    <w:rsid w:val="00547D27"/>
    <w:rsid w:val="00557F26"/>
    <w:rsid w:val="005B67D7"/>
    <w:rsid w:val="00644FB6"/>
    <w:rsid w:val="00674B47"/>
    <w:rsid w:val="00796EC0"/>
    <w:rsid w:val="007A70FB"/>
    <w:rsid w:val="007E4710"/>
    <w:rsid w:val="007F755E"/>
    <w:rsid w:val="00867FC8"/>
    <w:rsid w:val="00872729"/>
    <w:rsid w:val="008818A9"/>
    <w:rsid w:val="00896423"/>
    <w:rsid w:val="008B2C9C"/>
    <w:rsid w:val="008C6D24"/>
    <w:rsid w:val="008D439C"/>
    <w:rsid w:val="008F65EC"/>
    <w:rsid w:val="00960B2A"/>
    <w:rsid w:val="00962128"/>
    <w:rsid w:val="009A7BB1"/>
    <w:rsid w:val="009E6DED"/>
    <w:rsid w:val="00A17F86"/>
    <w:rsid w:val="00A260BC"/>
    <w:rsid w:val="00A44A8E"/>
    <w:rsid w:val="00A70D01"/>
    <w:rsid w:val="00A90F38"/>
    <w:rsid w:val="00A92B42"/>
    <w:rsid w:val="00AA4DB4"/>
    <w:rsid w:val="00AB2DAB"/>
    <w:rsid w:val="00AB46D7"/>
    <w:rsid w:val="00AE1264"/>
    <w:rsid w:val="00B0083D"/>
    <w:rsid w:val="00C133D4"/>
    <w:rsid w:val="00C47DD3"/>
    <w:rsid w:val="00C60A9A"/>
    <w:rsid w:val="00C744E8"/>
    <w:rsid w:val="00C81585"/>
    <w:rsid w:val="00C85A33"/>
    <w:rsid w:val="00CB4AB0"/>
    <w:rsid w:val="00D42098"/>
    <w:rsid w:val="00DE5FF7"/>
    <w:rsid w:val="00E34122"/>
    <w:rsid w:val="00E77DF6"/>
    <w:rsid w:val="00EC2C05"/>
    <w:rsid w:val="00EE7535"/>
    <w:rsid w:val="00F03AA7"/>
    <w:rsid w:val="00F37788"/>
    <w:rsid w:val="00F42399"/>
    <w:rsid w:val="00F45F3B"/>
    <w:rsid w:val="00F52370"/>
    <w:rsid w:val="00FA5CB2"/>
    <w:rsid w:val="00FB2181"/>
    <w:rsid w:val="00FD3CF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EEC73"/>
  <w15:docId w15:val="{A4460B10-5F30-4647-98AA-25DF0D73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360" w:lineRule="auto"/>
    </w:pPr>
    <w:rPr>
      <w:rFonts w:ascii="Calibri" w:hAnsi="Calibri" w:cs="Simplified Arabic"/>
      <w:sz w:val="22"/>
      <w:szCs w:val="28"/>
      <w:lang w:eastAsia="en-US"/>
    </w:rPr>
  </w:style>
  <w:style w:type="paragraph" w:styleId="Heading1">
    <w:name w:val="heading 1"/>
    <w:basedOn w:val="Normal"/>
    <w:next w:val="Normal"/>
    <w:link w:val="Heading1Char"/>
    <w:uiPriority w:val="9"/>
    <w:qFormat/>
    <w:pPr>
      <w:keepNext/>
      <w:keepLines/>
      <w:spacing w:before="480" w:after="0"/>
      <w:jc w:val="center"/>
      <w:outlineLvl w:val="0"/>
    </w:pPr>
    <w:rPr>
      <w:rFonts w:ascii="Cambria" w:hAnsi="Cambria"/>
      <w:b/>
      <w:bCs/>
      <w:sz w:val="28"/>
      <w:lang w:bidi="ar-IQ"/>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hAnsi="Cambria"/>
      <w:b/>
      <w:bCs/>
      <w:sz w:val="26"/>
    </w:rPr>
  </w:style>
  <w:style w:type="paragraph" w:styleId="Heading3">
    <w:name w:val="heading 3"/>
    <w:basedOn w:val="Normal"/>
    <w:next w:val="Normal"/>
    <w:link w:val="Heading3Char"/>
    <w:uiPriority w:val="9"/>
    <w:unhideWhenUsed/>
    <w:qFormat/>
    <w:pPr>
      <w:keepNext/>
      <w:keepLines/>
      <w:spacing w:before="200" w:after="0"/>
      <w:jc w:val="center"/>
      <w:outlineLvl w:val="2"/>
    </w:pPr>
    <w:rPr>
      <w:rFonts w:ascii="Cambria" w:hAnsi="Cambria" w:cs="Times New Roman"/>
      <w:b/>
      <w:bCs/>
      <w:color w:val="4F81BD"/>
    </w:rPr>
  </w:style>
  <w:style w:type="paragraph" w:styleId="Heading4">
    <w:name w:val="heading 4"/>
    <w:basedOn w:val="Normal"/>
    <w:next w:val="Normal"/>
    <w:link w:val="Heading4Char"/>
    <w:uiPriority w:val="9"/>
    <w:unhideWhenUsed/>
    <w:qFormat/>
    <w:pPr>
      <w:keepNext/>
      <w:keepLines/>
      <w:spacing w:before="200" w:after="0"/>
      <w:outlineLvl w:val="3"/>
    </w:pPr>
    <w:rPr>
      <w:rFonts w:ascii="Cambria"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nseEmphasis1234">
    <w:name w:val="Intense Emphasis;فقرة 1 2 3 4"/>
    <w:basedOn w:val="DefaultParagraphFont"/>
    <w:rPr>
      <w:b/>
      <w:bCs/>
      <w:i/>
      <w:iCs/>
      <w:color w:val="auto"/>
    </w:rPr>
  </w:style>
  <w:style w:type="paragraph" w:styleId="FootnoteText">
    <w:name w:val="footnote text"/>
    <w:basedOn w:val="Normal"/>
    <w:link w:val="FootnoteTextChar"/>
    <w:pPr>
      <w:bidi w:val="0"/>
      <w:spacing w:after="0" w:line="240" w:lineRule="auto"/>
    </w:pPr>
    <w:rPr>
      <w:rFonts w:eastAsia="Calibri" w:cs="Arial"/>
      <w:sz w:val="20"/>
      <w:szCs w:val="20"/>
      <w:lang w:bidi="ar-IQ"/>
    </w:rPr>
  </w:style>
  <w:style w:type="character" w:styleId="FootnoteReference">
    <w:name w:val="footnote reference"/>
    <w:aliases w:val="4_GA,4_G"/>
    <w:basedOn w:val="DefaultParagraphFont"/>
    <w:qFormat/>
    <w:rPr>
      <w:vertAlign w:val="superscript"/>
    </w:rPr>
  </w:style>
  <w:style w:type="paragraph" w:customStyle="1" w:styleId="1">
    <w:name w:val="سرد الفقرات1"/>
    <w:basedOn w:val="Normal"/>
    <w:pPr>
      <w:ind w:left="720"/>
      <w:contextualSpacing/>
    </w:pPr>
  </w:style>
  <w:style w:type="paragraph" w:styleId="Header">
    <w:name w:val="header"/>
    <w:basedOn w:val="Normal"/>
    <w:link w:val="HeaderChar"/>
    <w:unhideWhenUsed/>
    <w:rsid w:val="00B0083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0083D"/>
    <w:rPr>
      <w:rFonts w:ascii="Calibri" w:hAnsi="Calibri" w:cs="Simplified Arabic"/>
      <w:sz w:val="22"/>
      <w:szCs w:val="28"/>
      <w:lang w:eastAsia="en-US"/>
    </w:rPr>
  </w:style>
  <w:style w:type="paragraph" w:styleId="Footer">
    <w:name w:val="footer"/>
    <w:basedOn w:val="Normal"/>
    <w:link w:val="FooterChar"/>
    <w:unhideWhenUsed/>
    <w:rsid w:val="00B0083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0083D"/>
    <w:rPr>
      <w:rFonts w:ascii="Calibri" w:hAnsi="Calibri" w:cs="Simplified Arabic"/>
      <w:sz w:val="22"/>
      <w:szCs w:val="28"/>
      <w:lang w:eastAsia="en-US"/>
    </w:rPr>
  </w:style>
  <w:style w:type="character" w:styleId="Strong">
    <w:name w:val="Strong"/>
    <w:basedOn w:val="DefaultParagraphFont"/>
    <w:uiPriority w:val="22"/>
    <w:qFormat/>
    <w:rsid w:val="00C60A9A"/>
    <w:rPr>
      <w:b/>
      <w:bCs/>
    </w:rPr>
  </w:style>
  <w:style w:type="character" w:customStyle="1" w:styleId="FootnoteTextChar">
    <w:name w:val="Footnote Text Char"/>
    <w:basedOn w:val="DefaultParagraphFont"/>
    <w:link w:val="FootnoteText"/>
    <w:rsid w:val="004D758F"/>
    <w:rPr>
      <w:rFonts w:ascii="Calibri" w:eastAsia="Calibri" w:hAnsi="Calibri" w:cs="Arial"/>
      <w:lang w:eastAsia="en-US" w:bidi="ar-IQ"/>
    </w:rPr>
  </w:style>
  <w:style w:type="character" w:styleId="Hyperlink">
    <w:name w:val="Hyperlink"/>
    <w:basedOn w:val="DefaultParagraphFont"/>
    <w:rsid w:val="004D758F"/>
    <w:rPr>
      <w:color w:val="0000FF"/>
      <w:u w:val="single"/>
    </w:rPr>
  </w:style>
  <w:style w:type="table" w:styleId="TableGrid">
    <w:name w:val="Table Grid"/>
    <w:basedOn w:val="TableNormal"/>
    <w:uiPriority w:val="59"/>
    <w:rsid w:val="00C47DD3"/>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C47DD3"/>
    <w:rPr>
      <w:rFonts w:asciiTheme="minorHAnsi" w:eastAsia="DengXi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DD3"/>
    <w:pPr>
      <w:bidi w:val="0"/>
      <w:spacing w:after="200" w:line="276" w:lineRule="auto"/>
      <w:ind w:left="720"/>
      <w:contextualSpacing/>
    </w:pPr>
    <w:rPr>
      <w:rFonts w:asciiTheme="minorHAnsi" w:eastAsiaTheme="minorHAnsi" w:hAnsiTheme="minorHAnsi" w:cstheme="minorBidi"/>
      <w:szCs w:val="22"/>
    </w:rPr>
  </w:style>
  <w:style w:type="paragraph" w:styleId="NormalWeb">
    <w:name w:val="Normal (Web)"/>
    <w:basedOn w:val="Normal"/>
    <w:uiPriority w:val="99"/>
    <w:unhideWhenUsed/>
    <w:rsid w:val="00C47D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C47DD3"/>
    <w:pPr>
      <w:bidi w:val="0"/>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C47DD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47DD3"/>
    <w:rPr>
      <w:vertAlign w:val="superscript"/>
    </w:rPr>
  </w:style>
  <w:style w:type="character" w:customStyle="1" w:styleId="Heading1Char">
    <w:name w:val="Heading 1 Char"/>
    <w:basedOn w:val="DefaultParagraphFont"/>
    <w:link w:val="Heading1"/>
    <w:uiPriority w:val="9"/>
    <w:rsid w:val="00C47DD3"/>
    <w:rPr>
      <w:rFonts w:ascii="Cambria" w:hAnsi="Cambria" w:cs="Simplified Arabic"/>
      <w:b/>
      <w:bCs/>
      <w:sz w:val="28"/>
      <w:szCs w:val="28"/>
      <w:lang w:eastAsia="en-US" w:bidi="ar-IQ"/>
    </w:rPr>
  </w:style>
  <w:style w:type="character" w:customStyle="1" w:styleId="Heading2Char">
    <w:name w:val="Heading 2 Char"/>
    <w:basedOn w:val="DefaultParagraphFont"/>
    <w:link w:val="Heading2"/>
    <w:uiPriority w:val="9"/>
    <w:rsid w:val="00C47DD3"/>
    <w:rPr>
      <w:rFonts w:ascii="Cambria" w:hAnsi="Cambria" w:cs="Simplified Arabic"/>
      <w:b/>
      <w:bCs/>
      <w:sz w:val="26"/>
      <w:szCs w:val="28"/>
      <w:lang w:eastAsia="en-US"/>
    </w:rPr>
  </w:style>
  <w:style w:type="character" w:customStyle="1" w:styleId="Heading3Char">
    <w:name w:val="Heading 3 Char"/>
    <w:basedOn w:val="DefaultParagraphFont"/>
    <w:link w:val="Heading3"/>
    <w:uiPriority w:val="9"/>
    <w:rsid w:val="00C47DD3"/>
    <w:rPr>
      <w:rFonts w:ascii="Cambria" w:hAnsi="Cambria"/>
      <w:b/>
      <w:bCs/>
      <w:color w:val="4F81BD"/>
      <w:sz w:val="22"/>
      <w:szCs w:val="28"/>
      <w:lang w:eastAsia="en-US"/>
    </w:rPr>
  </w:style>
  <w:style w:type="character" w:styleId="FollowedHyperlink">
    <w:name w:val="FollowedHyperlink"/>
    <w:basedOn w:val="DefaultParagraphFont"/>
    <w:uiPriority w:val="99"/>
    <w:semiHidden/>
    <w:unhideWhenUsed/>
    <w:rsid w:val="00C47DD3"/>
    <w:rPr>
      <w:color w:val="96607D" w:themeColor="followedHyperlink"/>
      <w:u w:val="single"/>
    </w:rPr>
  </w:style>
  <w:style w:type="paragraph" w:styleId="NoSpacing">
    <w:name w:val="No Spacing"/>
    <w:uiPriority w:val="1"/>
    <w:qFormat/>
    <w:rsid w:val="00C47DD3"/>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C47DD3"/>
    <w:pPr>
      <w:bidi w:val="0"/>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47DD3"/>
    <w:rPr>
      <w:rFonts w:ascii="Tahoma" w:eastAsiaTheme="minorHAnsi" w:hAnsi="Tahoma" w:cs="Tahoma"/>
      <w:sz w:val="16"/>
      <w:szCs w:val="16"/>
      <w:lang w:eastAsia="en-US"/>
    </w:rPr>
  </w:style>
  <w:style w:type="paragraph" w:styleId="TOC1">
    <w:name w:val="toc 1"/>
    <w:basedOn w:val="Normal"/>
    <w:next w:val="Normal"/>
    <w:autoRedefine/>
    <w:uiPriority w:val="39"/>
    <w:unhideWhenUsed/>
    <w:rsid w:val="00C47DD3"/>
    <w:pPr>
      <w:bidi w:val="0"/>
      <w:spacing w:after="100" w:line="276" w:lineRule="auto"/>
    </w:pPr>
    <w:rPr>
      <w:rFonts w:asciiTheme="minorHAnsi" w:eastAsiaTheme="minorHAnsi" w:hAnsiTheme="minorHAnsi" w:cstheme="minorBidi"/>
      <w:szCs w:val="22"/>
    </w:rPr>
  </w:style>
  <w:style w:type="paragraph" w:styleId="TOC2">
    <w:name w:val="toc 2"/>
    <w:basedOn w:val="Normal"/>
    <w:next w:val="Normal"/>
    <w:autoRedefine/>
    <w:uiPriority w:val="39"/>
    <w:unhideWhenUsed/>
    <w:rsid w:val="00C47DD3"/>
    <w:pPr>
      <w:bidi w:val="0"/>
      <w:spacing w:after="100" w:line="276" w:lineRule="auto"/>
      <w:ind w:left="220"/>
    </w:pPr>
    <w:rPr>
      <w:rFonts w:asciiTheme="minorHAnsi" w:eastAsiaTheme="minorHAnsi" w:hAnsiTheme="minorHAnsi" w:cstheme="minorBidi"/>
      <w:szCs w:val="22"/>
    </w:rPr>
  </w:style>
  <w:style w:type="paragraph" w:styleId="TOC3">
    <w:name w:val="toc 3"/>
    <w:basedOn w:val="Normal"/>
    <w:next w:val="Normal"/>
    <w:autoRedefine/>
    <w:uiPriority w:val="39"/>
    <w:unhideWhenUsed/>
    <w:rsid w:val="00C47DD3"/>
    <w:pPr>
      <w:bidi w:val="0"/>
      <w:spacing w:after="100" w:line="276" w:lineRule="auto"/>
      <w:ind w:left="440"/>
    </w:pPr>
    <w:rPr>
      <w:rFonts w:asciiTheme="minorHAnsi" w:eastAsiaTheme="minorHAnsi" w:hAnsiTheme="minorHAnsi" w:cstheme="minorBidi"/>
      <w:szCs w:val="22"/>
    </w:rPr>
  </w:style>
  <w:style w:type="paragraph" w:styleId="TOCHeading">
    <w:name w:val="TOC Heading"/>
    <w:basedOn w:val="Heading1"/>
    <w:next w:val="Normal"/>
    <w:uiPriority w:val="39"/>
    <w:semiHidden/>
    <w:unhideWhenUsed/>
    <w:qFormat/>
    <w:rsid w:val="00C47DD3"/>
    <w:pPr>
      <w:spacing w:line="276" w:lineRule="auto"/>
      <w:jc w:val="left"/>
      <w:outlineLvl w:val="9"/>
    </w:pPr>
    <w:rPr>
      <w:rFonts w:asciiTheme="majorHAnsi" w:eastAsiaTheme="majorEastAsia" w:hAnsiTheme="majorHAnsi" w:cstheme="majorBidi"/>
      <w:color w:val="0F4761" w:themeColor="accent1" w:themeShade="BF"/>
      <w:rtl/>
      <w:lang w:bidi="ar-SA"/>
    </w:rPr>
  </w:style>
  <w:style w:type="character" w:customStyle="1" w:styleId="Heading4Char">
    <w:name w:val="Heading 4 Char"/>
    <w:basedOn w:val="DefaultParagraphFont"/>
    <w:link w:val="Heading4"/>
    <w:uiPriority w:val="9"/>
    <w:rsid w:val="00165064"/>
    <w:rPr>
      <w:rFonts w:ascii="Cambria" w:hAnsi="Cambria"/>
      <w:b/>
      <w:bCs/>
      <w:i/>
      <w:iCs/>
      <w:color w:val="4F81BD"/>
      <w:sz w:val="22"/>
      <w:szCs w:val="28"/>
      <w:lang w:eastAsia="en-US"/>
    </w:rPr>
  </w:style>
  <w:style w:type="character" w:styleId="PageNumber">
    <w:name w:val="page number"/>
    <w:basedOn w:val="DefaultParagraphFont"/>
    <w:uiPriority w:val="99"/>
    <w:semiHidden/>
    <w:unhideWhenUsed/>
    <w:rsid w:val="00DE5FF7"/>
  </w:style>
  <w:style w:type="character" w:styleId="Emphasis">
    <w:name w:val="Emphasis"/>
    <w:basedOn w:val="DefaultParagraphFont"/>
    <w:uiPriority w:val="20"/>
    <w:qFormat/>
    <w:rsid w:val="00DE5F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04AF3-EB38-465C-BD6C-77A52D37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5132</Words>
  <Characters>23197</Characters>
  <Application>Microsoft Office Word</Application>
  <DocSecurity>0</DocSecurity>
  <Lines>393</Lines>
  <Paragraphs>196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 law</dc:creator>
  <cp:lastModifiedBy>المقوم العلمي</cp:lastModifiedBy>
  <cp:revision>6</cp:revision>
  <cp:lastPrinted>2025-12-21T17:40:00Z</cp:lastPrinted>
  <dcterms:created xsi:type="dcterms:W3CDTF">2025-12-21T17:40:00Z</dcterms:created>
  <dcterms:modified xsi:type="dcterms:W3CDTF">2025-12-21T19:01:00Z</dcterms:modified>
</cp:coreProperties>
</file>